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Порядок предоставления субсидий в 20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гражданам,</w:t>
      </w:r>
      <w:r/>
    </w:p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ведущим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личн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ое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подсобн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ое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хозяйств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, кресть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янским (фермерским) хозяйствам,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ндивидуальным предпринимателям,</w:t>
      </w:r>
      <w:r/>
    </w:p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осуществляющим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деятельность в области</w:t>
      </w:r>
      <w:r/>
    </w:p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сель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скохозяйственного производства</w:t>
      </w:r>
      <w:r/>
    </w:p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муниципального образования</w:t>
      </w:r>
      <w:r/>
    </w:p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Староминский район 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eastAsia="Times New Roman"/>
          <w:b/>
          <w:color w:val="FFFFFF" w:themeColor="background1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olor w:val="FFFFFF" w:themeColor="background1"/>
          <w:sz w:val="28"/>
          <w:szCs w:val="28"/>
        </w:rPr>
      </w:r>
    </w:p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Прием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заявок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для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 участи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я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 в отборе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 на предоставление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субсидий</w:t>
      </w:r>
      <w:r>
        <w:rPr>
          <w:b/>
          <w:color w:val="000000" w:themeColor="text1"/>
          <w:highlight w:val="white"/>
        </w:rPr>
      </w:r>
    </w:p>
    <w:p>
      <w:pPr>
        <w:pStyle w:val="615"/>
        <w:jc w:val="center"/>
        <w:spacing w:lineRule="atLeast" w:line="288" w:after="210"/>
        <w:shd w:val="clear" w:fill="FFFFFF" w:color="FFFFFF"/>
        <w:rPr>
          <w:rFonts w:ascii="Times New Roman" w:hAnsi="Times New Roman" w:eastAsia="Times New Roman"/>
          <w:b w:val="false"/>
          <w:color w:val="00B05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 будет осуществляться с 26 июля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 20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2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1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 года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 по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 30 ноября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 2021 года</w:t>
      </w:r>
      <w:r>
        <w:rPr>
          <w:rFonts w:ascii="Times New Roman" w:hAnsi="Times New Roman" w:eastAsia="Times New Roman"/>
          <w:b w:val="false"/>
          <w:color w:val="00B050"/>
          <w:sz w:val="28"/>
          <w:szCs w:val="28"/>
          <w:highlight w:val="white"/>
          <w:lang w:eastAsia="ru-RU"/>
        </w:rPr>
      </w:r>
      <w:r>
        <w:rPr>
          <w:b w:val="false"/>
          <w:highlight w:val="white"/>
        </w:rPr>
      </w:r>
    </w:p>
    <w:p>
      <w:pPr>
        <w:pStyle w:val="615"/>
        <w:ind w:firstLine="708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1. 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0"/>
          <w:lang w:eastAsia="ru-RU"/>
        </w:rPr>
        <w:t xml:space="preserve">Претендентами на получение субсидий являются: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567"/>
        <w:jc w:val="both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заявители – граждане, зарегистрированные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Староминский  район (далее - ЛПХ);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567"/>
        <w:jc w:val="both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Староминский район (далее - КФХ);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567"/>
        <w:jc w:val="both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индивидуальные предприниматели, являющиеся сельскохозяйственными товаропроизводителями, отвечающие требованиям Федерального за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кона от      29 декабря 2006 года № 264-ФЗ «О развитии сельского хозяйства», 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Староминский  район (далее – ИП);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567"/>
        <w:jc w:val="both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индивидуальные предприниматели, зарегистрированные на территории Краснодарского края  и осуществляющие деятельность в области производства сельскохозяйственной продукции на территории муниципального образования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Выселков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ский район менее одного года и имеющие соответствующи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хозяйства», обратившиеся в уполномоченный орган  для участия в отборе.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708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0"/>
          <w:lang w:eastAsia="ru-RU"/>
        </w:rPr>
        <w:t xml:space="preserve">Субсидии предоставляются на возмещение части затрат, понесенных: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708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1) поддержку производства реализуемой продукции животноводства реализованное мясо КРС и молока (коровьего и козьего);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708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708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3) строительство теплиц для выращивания овощей защищенного грунта;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708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4) оплату услуг по искусственному осеменению сельскохозяйственных животных (крупного рогатого скота, овец и коз);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708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5) приобретение систем капельного орошения для ведения овощеводства (кроме граждан, ведущих личное подсобное хозяйство (далее - ЛПХ);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708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6) приобретение молодняка кроликов, гусей, индеек;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708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7) приобретение технологического оборудования для животноводства и птицеводства (кроме ЛПХ);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708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8) по наращиванию поголовья коров (кроме ЛПХ).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jc w:val="both"/>
        <w:spacing w:lineRule="atLeast" w:line="288" w:after="210"/>
        <w:shd w:val="clear" w:fill="FFFFFF" w:color="FFFFFF"/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К возмещению принимаются затраты, понесенные с 1 октября 20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20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 года</w:t>
      </w:r>
      <w:r>
        <w:rPr>
          <w:b/>
          <w:color w:val="000000" w:themeColor="text1"/>
          <w:highlight w:val="white"/>
        </w:rPr>
      </w:r>
    </w:p>
    <w:p>
      <w:pPr>
        <w:pStyle w:val="615"/>
        <w:ind w:firstLine="567"/>
        <w:spacing w:lineRule="atLeast" w:line="288" w:after="210"/>
        <w:shd w:val="clear" w:fill="FFFFFF" w:color="FFFFFF"/>
        <w:rPr>
          <w:rFonts w:ascii="Trebuchet MS" w:hAnsi="Trebuchet MS" w:eastAsia="Times New Roman"/>
          <w:color w:val="000000"/>
          <w:sz w:val="20"/>
          <w:szCs w:val="20"/>
          <w:lang w:eastAsia="ru-RU"/>
        </w:rPr>
      </w:pP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На сегодняшний день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,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 согласно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,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 краевого закона от 2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3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 декабря 20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20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 года № 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4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380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-КЗ «О краевом бюджете на 20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2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1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 год и плановый период 20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2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2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 и 202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3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 годов» муниципальному образованию 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Выселков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ский район выделен объем субвенций на предоставление субсидий в сумме </w:t>
      </w: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6 144 000 рублей.</w:t>
      </w:r>
      <w:r/>
    </w:p>
    <w:p>
      <w:pPr>
        <w:pStyle w:val="615"/>
        <w:spacing w:lineRule="atLeast" w:line="288" w:after="210"/>
        <w:shd w:val="clear" w:fill="FFFFFF" w:color="FFFFFF"/>
        <w:rPr>
          <w:rFonts w:ascii="Trebuchet MS" w:hAnsi="Trebuchet MS" w:eastAsia="Times New Roman"/>
          <w:color w:val="000000"/>
          <w:sz w:val="20"/>
          <w:szCs w:val="20"/>
          <w:lang w:eastAsia="ru-RU"/>
        </w:rPr>
      </w:pPr>
      <w:r>
        <w:rPr>
          <w:rFonts w:ascii="Trebuchet MS" w:hAnsi="Trebuchet MS" w:eastAsia="Times New Roman"/>
          <w:color w:val="000000"/>
          <w:sz w:val="20"/>
          <w:szCs w:val="20"/>
          <w:lang w:eastAsia="ru-RU"/>
        </w:rPr>
        <w:t xml:space="preserve">1. Оформление пакета документов начинается с обращения в сельское поселение, на территории которого осуществляется деятельность в области сельскохозяйственного производства.</w:t>
      </w:r>
      <w:r/>
    </w:p>
    <w:p>
      <w:pPr>
        <w:pStyle w:val="615"/>
        <w:ind w:firstLine="567"/>
        <w:jc w:val="both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Далее пакет документов предоставляется в администраци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ю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муниципального образо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вания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Староминский  район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по адресу: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353600 РФ, Краснодарский край,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Староминский район, станица Староминская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, ул.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Красная, 15;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тел.: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8 (861 53) 5-71-14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567"/>
        <w:jc w:val="both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0"/>
          <w:lang w:eastAsia="ru-RU"/>
        </w:rPr>
        <w:t xml:space="preserve">Прием документов осуществляется в соответствии с графиком работы: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Понедельник –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четверг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: с 8.00 до 1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.00,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пятница: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с 8.30 до 1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.00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Перерыв: с 12.00 до 13.00.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4. Выплата субсидий производится в течение финансового года в пределах лимитов субвенций, предусмотренных законом о краевом бюджете  на текущий финансовый год бюдж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ету муниципального образования Выселков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ский район.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567"/>
        <w:jc w:val="both"/>
        <w:spacing w:lineRule="atLeast" w:line="288" w:after="21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По всем имеющимся вопросам, просим Вас обращаться в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администрацию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Старомгнский район по адресу: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353600 РФ, Краснодарский край,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Староминский  район,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станица Староминская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, ул.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Красная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, 15;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тел.: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8 (861 53)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5-71-14.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firstLine="567"/>
        <w:jc w:val="both"/>
        <w:spacing w:lineRule="atLeast" w:line="288" w:after="210"/>
        <w:shd w:val="clear" w:fill="FFFFFF" w:color="FFFFFF"/>
        <w:rPr>
          <w:rFonts w:ascii="Times New Roman" w:hAnsi="Times New Roman" w:eastAsia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B050"/>
          <w:sz w:val="24"/>
          <w:szCs w:val="24"/>
          <w:lang w:eastAsia="ru-RU"/>
        </w:rPr>
      </w:r>
      <w:r/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РАСЧ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Ё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ТНЫЕ РАЗМЕРЫ</w:t>
      </w:r>
      <w:r>
        <w:rPr>
          <w:color w:val="000000" w:themeColor="text1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ставок субсидий для предоставления финансовой государственной </w:t>
      </w:r>
      <w:r>
        <w:rPr>
          <w:color w:val="000000" w:themeColor="text1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поддержки развития личных подсобных хозяйств в области </w:t>
      </w:r>
      <w:r>
        <w:rPr>
          <w:color w:val="000000" w:themeColor="text1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сельскохозяйственного производства </w:t>
      </w:r>
      <w:r>
        <w:rPr>
          <w:color w:val="000000" w:themeColor="text1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615"/>
        <w:jc w:val="both"/>
        <w:spacing w:lineRule="auto" w:line="240" w:after="0"/>
        <w:widowControl w:val="off"/>
        <w:rPr>
          <w:rFonts w:ascii="Arial" w:hAnsi="Arial" w:eastAsia="Times New Roman"/>
          <w:sz w:val="20"/>
          <w:szCs w:val="20"/>
          <w:lang w:val="en-US" w:eastAsia="ru-RU"/>
        </w:rPr>
      </w:pPr>
      <w:r>
        <w:rPr>
          <w:rFonts w:ascii="Arial" w:hAnsi="Arial" w:eastAsia="Times New Roman"/>
          <w:sz w:val="20"/>
          <w:szCs w:val="20"/>
          <w:lang w:val="en-US" w:eastAsia="ru-RU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37"/>
        <w:gridCol w:w="1740"/>
        <w:gridCol w:w="4536"/>
        <w:gridCol w:w="39"/>
        <w:gridCol w:w="2654"/>
      </w:tblGrid>
      <w:tr>
        <w:trPr>
          <w:trHeight w:val="1092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субсидии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72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Размер субсидии на затраты, понесенные в текущем финансовом 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году и четвертом квартале предыдущего года,</w:t>
            </w:r>
            <w:r>
              <w:rPr>
                <w:rFonts w:ascii="Arial" w:hAnsi="Arial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для граждан, 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осуществляющих непредпринимательскую деятельность по 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производству и переработке сельскохозяйственной продукции</w:t>
            </w:r>
            <w:r/>
          </w:p>
        </w:tc>
      </w:tr>
      <w:tr>
        <w:trPr>
          <w:trHeight w:val="187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trHeight w:val="1036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 перешедших на специальный налоговый режим «налог на профессиональный доход»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перешедших на специальный налоговый режим «налог на профессиональный доход»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4"/>
            <w:tcW w:w="896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приобретение племенных сельскохозяйственных 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животных, а также товарных сельскохозяйственных животных (коров, нетелей,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овцематок, ремонтных телок, ярочек, козочек), предназначенных 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для воспроизводства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</w:t>
            </w:r>
            <w:r/>
          </w:p>
        </w:tc>
        <w:tc>
          <w:tcPr>
            <w:gridSpan w:val="4"/>
            <w:tcW w:w="896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поголовье коров, нетелей, ремонтных телок</w:t>
            </w:r>
            <w:r/>
          </w:p>
        </w:tc>
      </w:tr>
      <w:tr>
        <w:trPr>
          <w:trHeight w:val="1411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1.1.1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приобретении от 1 до 3  голов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90 рублей за 1 кг живого веса, но не более 50 % от фактически понесенных затрат при наличии общего поголовья с учетом приобретаемого не более 3 голов по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похозяйственному учету 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90 рублей за 1 кг живого веса, но не более 50 % от фактически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понесенных затрат</w:t>
            </w:r>
            <w:r/>
          </w:p>
        </w:tc>
      </w:tr>
      <w:tr>
        <w:trPr>
          <w:trHeight w:val="1208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1.1.2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приобретении 4 и более голов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150 рублей за 1 кг      живого веса, но не более 50 % от фактически   понесенных затрат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1.2</w:t>
            </w:r>
            <w:r/>
          </w:p>
        </w:tc>
        <w:tc>
          <w:tcPr>
            <w:gridSpan w:val="4"/>
            <w:tcW w:w="896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поголовье овцематок (ярочек)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1.2.1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приобретении до 20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голов</w:t>
            </w:r>
            <w:r/>
          </w:p>
        </w:tc>
        <w:tc>
          <w:tcPr>
            <w:gridSpan w:val="2"/>
            <w:tcW w:w="4575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100 рублей за 1 кг живого веса, но не     более 50 % от фактически понесенных затрат при наличии общего поголовья с учетом приобретаемого не более 20 голов по похозяйственному учету</w:t>
            </w:r>
            <w:r/>
          </w:p>
        </w:tc>
        <w:tc>
          <w:tcPr>
            <w:tcW w:w="2654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100 рублей за 1 кг      живого веса, но не более 50 % от фактически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понесенных затрат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1.2.2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приобретении более 20 голов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150 рублей за 1 кг      живого веса, но не более      50 % от фактически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понесенных затрат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1.3</w:t>
            </w:r>
            <w:r/>
          </w:p>
        </w:tc>
        <w:tc>
          <w:tcPr>
            <w:gridSpan w:val="4"/>
            <w:tcW w:w="896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поголовье козочек </w:t>
            </w:r>
            <w:r/>
          </w:p>
        </w:tc>
      </w:tr>
      <w:tr>
        <w:trPr>
          <w:trHeight w:val="1348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1.3.1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приобретении козочек до 3 голов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150 рублей за 1 кг живого веса, но не более 50 % от фактически понесенных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затрат при наличии общего поголовья с учетом приобретаемого не более 3 голов по похозяйственному учету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150 рублей за 1 кг живого веса, но не более       50 % от фактически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понесенных затрат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1.3.2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приобретении козочек более 3 голов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200 рублей за 1 кг живого веса, но не более      50 % от фактически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понесенных затрат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4"/>
            <w:tcW w:w="8969" w:type="dxa"/>
            <w:vAlign w:val="center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приобретение молодняка кроликов, гусей, индеек</w:t>
            </w:r>
            <w:r/>
          </w:p>
        </w:tc>
      </w:tr>
      <w:tr>
        <w:trPr>
          <w:trHeight w:val="1005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2.1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 приобретение молодняка кроликов до 50 голов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300 рублей за одну голову, но не более   50 % от фактически понесенных затрат 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300 рублей за одну голову, но не более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50 % от фактически понесенных затрат 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2.2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 приобретение молодняка кроликов более 50 голов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400 рублей за одну голову, но не более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50 % от фактически понесенных затрат </w:t>
            </w:r>
            <w:r/>
          </w:p>
        </w:tc>
      </w:tr>
      <w:tr>
        <w:trPr>
          <w:trHeight w:val="1707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2.3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 приобретение молодняка гусей, индеек до 50 голов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100 рублей за одну голову, но не более    50 % от фактически понесенных затрат 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100 рублей за одну голову, но не более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50 % от фактически понесенных затрат </w:t>
            </w:r>
            <w:r/>
          </w:p>
        </w:tc>
      </w:tr>
      <w:tr>
        <w:trPr>
          <w:trHeight w:val="1659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2.4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 приобретение молодняка гусей, индеек более 50 голов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100 рублей за одну  голову, но не более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50 % от фактически понесенных затрат 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4"/>
            <w:tcW w:w="896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производство реализуемой 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продукции животноводства   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3.1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 реализацию мяса крупного рогатого скота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 рублей за 1 кг живого веса, но не более чем за 1 000 кг в финансовом году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 рублей за 1 кг живого веса, но не более чем за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5 000 кг в финансовом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году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3.2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 реализацию молока (коров, коз)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 рубля за 1 кг молока, но не более чем за 10 000 кг в финансовом году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 рубля за 1 кг молока, но не более чем за 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25 000 кг в финансовом году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4"/>
            <w:tcW w:w="8969" w:type="dxa"/>
            <w:vAlign w:val="center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оплату услуг по искусственному осеменению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сельскохозяйственных животных (крупного рогатого скота, овец и коз)</w:t>
            </w:r>
            <w:r/>
          </w:p>
        </w:tc>
      </w:tr>
      <w:tr>
        <w:trPr>
          <w:trHeight w:val="1042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4.1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 искусственное осеменение крупного рогатого скота</w:t>
            </w:r>
            <w:r/>
          </w:p>
        </w:tc>
        <w:tc>
          <w:tcPr>
            <w:gridSpan w:val="3"/>
            <w:tcW w:w="7229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500 рублей за одну голову, но не более 50 % от фактически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понесенных затрат</w:t>
            </w:r>
            <w:r/>
          </w:p>
        </w:tc>
      </w:tr>
      <w:tr>
        <w:trPr>
          <w:trHeight w:val="754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4.2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 искусственное осеменение овец и коз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7229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350 рублей за одну голову, но не более 50 % от фактически            понесенных затрат </w:t>
            </w:r>
            <w:r/>
          </w:p>
        </w:tc>
      </w:tr>
      <w:tr>
        <w:trPr>
          <w:trHeight w:val="515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4"/>
            <w:tcW w:w="896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строительство теплиц для выращивания овощей 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защищенного грунта</w:t>
            </w:r>
            <w:r/>
          </w:p>
        </w:tc>
      </w:tr>
      <w:tr>
        <w:trPr>
          <w:trHeight w:val="304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5.1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строительство теплиц на металлическом и стеклопластиковом каркасе площадью не менее 50 кв. м каждая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350 рублей за 1 кв. м, но не более </w:t>
              <w:br/>
              <w:t xml:space="preserve">100 % от фактически понесенных затрат и не более чем за 0,01 га в финансовом году</w:t>
            </w:r>
            <w:r>
              <w:rPr>
                <w:rFonts w:ascii="Arial" w:hAnsi="Arial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350 рублей за 1 кв. м, но не более 100 % от      фактически понесенных затрат и не более чем за 0,2 га в финансовом   году</w:t>
            </w:r>
            <w:r/>
          </w:p>
        </w:tc>
      </w:tr>
      <w:tr>
        <w:trPr>
          <w:trHeight w:val="304"/>
        </w:trPr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5.2</w:t>
            </w:r>
            <w:r/>
          </w:p>
        </w:tc>
        <w:tc>
          <w:tcPr>
            <w:tcW w:w="174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строительство теплиц на деревянном и комбинированном каркасе площадью не менее 50 кв. м каждая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150 рублей за 1 кв. м, но не более 100 % от фактически понесенных затрат и не более чем за 0,01 га в финансовом году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150 рублей за 1 кв. м,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но не более 100 % от фактически понесенных затрат и не более чем за 0,2 га в финансовом   году</w:t>
            </w:r>
            <w:r/>
          </w:p>
        </w:tc>
      </w:tr>
    </w:tbl>
    <w:p>
      <w:pPr>
        <w:pStyle w:val="615"/>
        <w:jc w:val="center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C00000"/>
          <w:sz w:val="28"/>
          <w:szCs w:val="28"/>
          <w:lang w:eastAsia="ru-RU"/>
        </w:rPr>
      </w:r>
      <w:r/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color w:val="000000" w:themeColor="text1"/>
          <w:sz w:val="16"/>
          <w:szCs w:val="16"/>
          <w:highlight w:val="white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РАСЧ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Ё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ТНЫЕ РАЗМЕРЫ</w:t>
      </w:r>
      <w:r>
        <w:rPr>
          <w:rFonts w:ascii="Times New Roman" w:hAnsi="Times New Roman" w:eastAsia="Times New Roman"/>
          <w:b/>
          <w:color w:val="000000" w:themeColor="text1"/>
          <w:sz w:val="16"/>
          <w:szCs w:val="16"/>
          <w:highlight w:val="white"/>
          <w:lang w:eastAsia="ru-RU"/>
        </w:rPr>
      </w:r>
      <w:r>
        <w:rPr>
          <w:color w:val="000000" w:themeColor="text1"/>
          <w:highlight w:val="white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ставок субсидий для предоставления финансовой государственной </w:t>
      </w:r>
      <w:r>
        <w:rPr>
          <w:color w:val="000000" w:themeColor="text1"/>
          <w:highlight w:val="white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поддержки крестьянским (фермерским) хозяйствам и индивидуальным </w:t>
      </w:r>
      <w:r>
        <w:rPr>
          <w:color w:val="000000" w:themeColor="text1"/>
          <w:highlight w:val="white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предпринимателям, ведущим деятельность в области </w:t>
      </w:r>
      <w:r>
        <w:rPr>
          <w:color w:val="000000" w:themeColor="text1"/>
          <w:highlight w:val="white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bCs/>
          <w:color w:val="000000" w:themeColor="text1"/>
          <w:sz w:val="16"/>
          <w:szCs w:val="16"/>
          <w:highlight w:val="white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сельскохозяйственного производства</w:t>
      </w:r>
      <w:r>
        <w:rPr>
          <w:rFonts w:ascii="Times New Roman" w:hAnsi="Times New Roman" w:eastAsia="Times New Roman"/>
          <w:b/>
          <w:bCs/>
          <w:color w:val="000000" w:themeColor="text1"/>
          <w:sz w:val="16"/>
          <w:szCs w:val="16"/>
          <w:highlight w:val="white"/>
          <w:lang w:eastAsia="ru-RU"/>
        </w:rPr>
      </w:r>
      <w:r>
        <w:rPr>
          <w:color w:val="000000" w:themeColor="text1"/>
          <w:highlight w:val="white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bCs/>
          <w:sz w:val="16"/>
          <w:szCs w:val="16"/>
          <w:highlight w:val="white"/>
        </w:rPr>
      </w:pPr>
      <w:r>
        <w:rPr>
          <w:rFonts w:ascii="Times New Roman" w:hAnsi="Times New Roman" w:eastAsia="Times New Roman"/>
          <w:bCs/>
          <w:sz w:val="16"/>
          <w:szCs w:val="16"/>
          <w:highlight w:val="white"/>
          <w:lang w:eastAsia="ru-RU"/>
        </w:rPr>
      </w:r>
      <w:r>
        <w:rPr>
          <w:highlight w:val="white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sz w:val="16"/>
          <w:szCs w:val="16"/>
          <w:highlight w:val="white"/>
        </w:rPr>
      </w:pPr>
      <w:r>
        <w:rPr>
          <w:rFonts w:ascii="Times New Roman" w:hAnsi="Times New Roman" w:eastAsia="Times New Roman"/>
          <w:bCs/>
          <w:sz w:val="16"/>
          <w:szCs w:val="16"/>
          <w:highlight w:val="white"/>
        </w:rPr>
      </w:r>
      <w:r>
        <w:rPr>
          <w:rFonts w:ascii="Times New Roman" w:hAnsi="Times New Roman" w:eastAsia="Times New Roman"/>
          <w:bCs/>
          <w:sz w:val="16"/>
          <w:szCs w:val="16"/>
          <w:highlight w:val="white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sz w:val="16"/>
          <w:szCs w:val="16"/>
          <w:highlight w:val="white"/>
        </w:rPr>
      </w:pPr>
      <w:r>
        <w:rPr>
          <w:rFonts w:ascii="Times New Roman" w:hAnsi="Times New Roman" w:eastAsia="Times New Roman"/>
          <w:sz w:val="16"/>
          <w:szCs w:val="16"/>
          <w:highlight w:val="white"/>
        </w:rPr>
      </w:r>
      <w:r>
        <w:rPr>
          <w:rFonts w:ascii="Times New Roman" w:hAnsi="Times New Roman" w:eastAsia="Times New Roman"/>
          <w:sz w:val="16"/>
          <w:szCs w:val="16"/>
          <w:highlight w:val="white"/>
        </w:rPr>
      </w:r>
    </w:p>
    <w:p>
      <w:pPr>
        <w:pStyle w:val="615"/>
        <w:jc w:val="center"/>
        <w:spacing w:lineRule="auto" w:line="240" w:after="0"/>
        <w:widowControl w:val="off"/>
        <w:rPr>
          <w:rFonts w:ascii="Times New Roman" w:hAnsi="Times New Roman" w:eastAsia="Times New Roman"/>
          <w:sz w:val="16"/>
          <w:szCs w:val="16"/>
          <w:highlight w:val="white"/>
        </w:rPr>
      </w:pPr>
      <w:r>
        <w:rPr>
          <w:rFonts w:ascii="Times New Roman" w:hAnsi="Times New Roman" w:eastAsia="Times New Roman"/>
          <w:sz w:val="16"/>
          <w:szCs w:val="16"/>
          <w:highlight w:val="white"/>
        </w:rPr>
      </w:r>
      <w:r>
        <w:rPr>
          <w:rFonts w:ascii="Times New Roman" w:hAnsi="Times New Roman" w:eastAsia="Times New Roman"/>
          <w:sz w:val="16"/>
          <w:szCs w:val="16"/>
          <w:highlight w:val="white"/>
        </w:rPr>
      </w:r>
    </w:p>
    <w:p>
      <w:pPr>
        <w:pStyle w:val="615"/>
        <w:spacing w:lineRule="auto" w:line="240" w:after="1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</w:r>
      <w:r/>
    </w:p>
    <w:tbl>
      <w:tblPr>
        <w:tblW w:w="970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3680"/>
        <w:gridCol w:w="6"/>
        <w:gridCol w:w="5386"/>
      </w:tblGrid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субсидии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Размер субсидии на затраты, понесенные в текущем финансовом году и четвертом квартале предыдущего года</w:t>
            </w:r>
            <w:r/>
          </w:p>
        </w:tc>
      </w:tr>
      <w:tr>
        <w:trPr>
          <w:trHeight w:val="241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3"/>
            <w:tcW w:w="9072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  <w:r/>
          </w:p>
        </w:tc>
      </w:tr>
      <w:tr>
        <w:trPr>
          <w:trHeight w:val="435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</w:t>
            </w:r>
            <w:r/>
          </w:p>
        </w:tc>
        <w:tc>
          <w:tcPr>
            <w:gridSpan w:val="3"/>
            <w:tcW w:w="9072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поголовье коров, нетелей, ремонтных телок</w:t>
            </w:r>
            <w:r/>
          </w:p>
        </w:tc>
      </w:tr>
      <w:tr>
        <w:trPr>
          <w:trHeight w:val="785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1.1.1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приобретении 1 и более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голов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90 рублей за 1 кг живого веса, но не более 50 % от фактически понесенных затрат</w:t>
            </w:r>
            <w:r/>
          </w:p>
        </w:tc>
      </w:tr>
      <w:tr>
        <w:trPr>
          <w:trHeight w:val="451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1.2</w:t>
            </w:r>
            <w:r/>
          </w:p>
        </w:tc>
        <w:tc>
          <w:tcPr>
            <w:gridSpan w:val="3"/>
            <w:tcW w:w="9072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поголовье овцематок (ярочек) пород мясного направления </w:t>
            </w:r>
            <w:r/>
          </w:p>
        </w:tc>
      </w:tr>
      <w:tr>
        <w:trPr>
          <w:trHeight w:val="758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1.2.1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приобретении до 20 голов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100 рублей за 1 кг живого веса, но не более 50 % от фактически понесенных затрат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1.2.2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приобретении более 20 голов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150 рублей за 1 кг живого веса, но не более 50 % от фактически понесенных затрат</w:t>
            </w:r>
            <w:r/>
          </w:p>
        </w:tc>
      </w:tr>
      <w:tr>
        <w:trPr>
          <w:trHeight w:val="229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1.3</w:t>
            </w:r>
            <w:r/>
          </w:p>
        </w:tc>
        <w:tc>
          <w:tcPr>
            <w:gridSpan w:val="3"/>
            <w:tcW w:w="9072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tabs>
                <w:tab w:val="center" w:pos="4105" w:leader="none"/>
                <w:tab w:val="left" w:pos="6268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поголовье козочек</w:t>
            </w:r>
            <w:r/>
          </w:p>
        </w:tc>
      </w:tr>
      <w:tr>
        <w:trPr>
          <w:trHeight w:val="804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1.3.1</w:t>
            </w:r>
            <w:r/>
          </w:p>
        </w:tc>
        <w:tc>
          <w:tcPr>
            <w:gridSpan w:val="2"/>
            <w:tcW w:w="3686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приобретении товарного    поголовья козочек 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200 рублей за 1 кг живого веса, но не более 50 % от фактически понесенных затрат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3"/>
            <w:tcW w:w="9072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приобретение молодняка кроликов, гусей, индеек</w:t>
            </w:r>
            <w:r/>
          </w:p>
        </w:tc>
      </w:tr>
      <w:tr>
        <w:trPr>
          <w:trHeight w:val="712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2.1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 приобретение молодняка  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кроликов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400 рублей за одну голову, но не более 50 % от фактически понесенных затрат </w:t>
            </w:r>
            <w:r/>
          </w:p>
        </w:tc>
      </w:tr>
      <w:tr>
        <w:trPr>
          <w:trHeight w:val="797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2.2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 приобретение молодняка     </w:t>
            </w:r>
            <w:r/>
          </w:p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гусей, индеек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100 рублей за одну голову, но не более 50 % от фактически понесенных затрат 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3"/>
            <w:tcW w:w="9072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производство реализуемой </w:t>
            </w:r>
            <w:r/>
          </w:p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продукции животноводства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3.1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 реализацию молока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базо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вой ставке 2,45 рубля за 1 кг молока (с применением к базовой ставке повышающего коэффициента 1,227, при средней молочной продуктивности коров 5000 кг и выше в году, предшествующем текущему финансовому году), но не более чем за 100 000 кг в финансовом году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3.2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 реализацию мяса крупного </w:t>
            </w:r>
            <w:r/>
          </w:p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рогатого скота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 рублей за 1 кг живого веса, но не более чем за 100 000 кг в финансовом году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3"/>
            <w:tcW w:w="9072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оплату услуг по искусственному осеменению</w:t>
            </w:r>
            <w:r/>
          </w:p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сельскохозяйственных животных (крупного рогатого скота, овец и коз)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4.1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 искусственное осеменение крупного рогатого скота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500 рублей за одну голову, но не более 50 % от фактически понесенных затрат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4.2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 искусственное осеменение овец и коз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350 рублей за одну голову, но не более 50 % от фактически понесенных затрат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приобретение систем капельного   орошения для ведения овощеводства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20 % от фактически понесенных затрат на </w:t>
            </w:r>
            <w:r/>
          </w:p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приобретение, но не более 90 000 рублей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3"/>
            <w:tcW w:w="9072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строительство теплиц для выращивания овощей</w:t>
            </w:r>
            <w:r/>
          </w:p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защищенного грунта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6.1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строительство теплиц на металлическом и стеклопластиковом каркасе площадью не менее 100 кв. м каждая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350 рублей за 1 кв. м, но не более 100 % от фактически понесенных затрат и не более чем за 0,5 га в финансовом году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6.2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строительство теплиц на деревянном и комбинированном каркасе площадью не менее 100 кв. м каждая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150 рублей за 1 кв. м, но не более 100 % от фактически понесенных затрат и не более чем за 0,5 га в финансовом году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на приобретение технологического оборудования для животноводства и птицеводства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20 % от фактически понесенных затрат на </w:t>
            </w:r>
            <w:r/>
          </w:p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приобретение, но не более 80 000 рублей</w:t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3680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Возмещение части затрат по наращиванию поголовья коров</w:t>
            </w:r>
            <w:r/>
          </w:p>
        </w:tc>
        <w:tc>
          <w:tcPr>
            <w:gridSpan w:val="2"/>
            <w:tcW w:w="5392" w:type="dxa"/>
            <w:vAlign w:val="top"/>
            <w:textDirection w:val="lrTb"/>
            <w:noWrap w:val="false"/>
          </w:tcPr>
          <w:p>
            <w:pPr>
              <w:pStyle w:val="615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50 000 рублей на одну голову, но не более чем за две головы в финансовом году</w:t>
            </w:r>
            <w:r/>
          </w:p>
        </w:tc>
      </w:tr>
    </w:tbl>
    <w:p>
      <w:pPr>
        <w:pStyle w:val="615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15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7</w:t>
    </w:r>
    <w:r>
      <w:fldChar w:fldCharType="end"/>
    </w:r>
    <w:r/>
  </w:p>
  <w:p>
    <w:pPr>
      <w:pStyle w:val="62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15">
    <w:name w:val="Обычный"/>
    <w:next w:val="615"/>
    <w:link w:val="615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616">
    <w:name w:val="Основной шрифт абзаца"/>
    <w:next w:val="616"/>
    <w:link w:val="615"/>
  </w:style>
  <w:style w:type="table" w:styleId="617">
    <w:name w:val="Обычная таблица"/>
    <w:next w:val="617"/>
    <w:link w:val="615"/>
    <w:semiHidden/>
    <w:tblPr/>
  </w:style>
  <w:style w:type="numbering" w:styleId="618">
    <w:name w:val="Нет списка"/>
    <w:next w:val="618"/>
    <w:link w:val="615"/>
    <w:semiHidden/>
  </w:style>
  <w:style w:type="character" w:styleId="619">
    <w:name w:val="Гиперссылка"/>
    <w:next w:val="619"/>
    <w:link w:val="615"/>
    <w:semiHidden/>
    <w:rPr>
      <w:color w:val="0000FF"/>
      <w:u w:val="single"/>
    </w:rPr>
  </w:style>
  <w:style w:type="character" w:styleId="620">
    <w:name w:val="apple-converted-space"/>
    <w:basedOn w:val="616"/>
    <w:next w:val="620"/>
    <w:link w:val="615"/>
  </w:style>
  <w:style w:type="character" w:styleId="621">
    <w:name w:val="bc_curr"/>
    <w:basedOn w:val="616"/>
    <w:next w:val="621"/>
    <w:link w:val="615"/>
  </w:style>
  <w:style w:type="paragraph" w:styleId="622">
    <w:name w:val="Обычный (веб)"/>
    <w:basedOn w:val="615"/>
    <w:next w:val="622"/>
    <w:link w:val="61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23">
    <w:name w:val="Текст выноски"/>
    <w:basedOn w:val="615"/>
    <w:next w:val="623"/>
    <w:link w:val="624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624">
    <w:name w:val="Текст выноски Знак"/>
    <w:next w:val="624"/>
    <w:link w:val="623"/>
    <w:semiHidden/>
    <w:rPr>
      <w:rFonts w:ascii="Tahoma" w:hAnsi="Tahoma"/>
      <w:sz w:val="16"/>
      <w:szCs w:val="16"/>
    </w:rPr>
  </w:style>
  <w:style w:type="paragraph" w:styleId="625">
    <w:name w:val="Верхний колонтитул"/>
    <w:basedOn w:val="615"/>
    <w:next w:val="625"/>
    <w:link w:val="626"/>
    <w:pPr>
      <w:tabs>
        <w:tab w:val="center" w:pos="4677" w:leader="none"/>
        <w:tab w:val="right" w:pos="9355" w:leader="none"/>
      </w:tabs>
    </w:pPr>
  </w:style>
  <w:style w:type="character" w:styleId="626">
    <w:name w:val="Верхний колонтитул Знак"/>
    <w:next w:val="626"/>
    <w:link w:val="625"/>
    <w:rPr>
      <w:sz w:val="22"/>
      <w:szCs w:val="22"/>
      <w:lang w:eastAsia="en-US"/>
    </w:rPr>
  </w:style>
  <w:style w:type="paragraph" w:styleId="627">
    <w:name w:val="Нижний колонтитул"/>
    <w:basedOn w:val="615"/>
    <w:next w:val="627"/>
    <w:link w:val="628"/>
    <w:pPr>
      <w:tabs>
        <w:tab w:val="center" w:pos="4677" w:leader="none"/>
        <w:tab w:val="right" w:pos="9355" w:leader="none"/>
      </w:tabs>
    </w:pPr>
  </w:style>
  <w:style w:type="character" w:styleId="628">
    <w:name w:val="Нижний колонтитул Знак"/>
    <w:next w:val="628"/>
    <w:link w:val="627"/>
    <w:rPr>
      <w:sz w:val="22"/>
      <w:szCs w:val="22"/>
      <w:lang w:eastAsia="en-US"/>
    </w:rPr>
  </w:style>
  <w:style w:type="character" w:styleId="2766" w:default="1">
    <w:name w:val="Default Paragraph Font"/>
    <w:uiPriority w:val="1"/>
    <w:semiHidden/>
    <w:unhideWhenUsed/>
  </w:style>
  <w:style w:type="numbering" w:styleId="2767" w:default="1">
    <w:name w:val="No List"/>
    <w:uiPriority w:val="99"/>
    <w:semiHidden/>
    <w:unhideWhenUsed/>
  </w:style>
  <w:style w:type="paragraph" w:styleId="2768" w:default="1">
    <w:name w:val="Normal"/>
    <w:qFormat/>
  </w:style>
  <w:style w:type="table" w:styleId="27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2021-12-08T06:40:53Z</dcterms:modified>
</cp:coreProperties>
</file>