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ind w:firstLine="720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ПРОЕКТ</w:t>
      </w:r>
      <w:r/>
    </w:p>
    <w:p>
      <w:pPr>
        <w:pStyle w:val="828"/>
        <w:contextualSpacing w:val="true"/>
        <w:jc w:val="center"/>
        <w:spacing w:lineRule="auto" w:line="240" w:after="100" w:afterAutospacing="1" w:before="100" w:beforeAutospacing="1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ДОКЛАД</w:t>
      </w:r>
      <w:r/>
    </w:p>
    <w:p>
      <w:pPr>
        <w:pStyle w:val="828"/>
        <w:contextualSpacing w:val="true"/>
        <w:jc w:val="center"/>
        <w:spacing w:lineRule="auto" w:line="240" w:after="100" w:afterAutospacing="1" w:before="100" w:beforeAutospacing="1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о правоприменительной практике </w:t>
      </w:r>
      <w:r/>
    </w:p>
    <w:p>
      <w:pPr>
        <w:pStyle w:val="828"/>
        <w:contextualSpacing w:val="true"/>
        <w:jc w:val="center"/>
        <w:spacing w:lineRule="auto" w:line="240" w:after="100" w:afterAutospacing="1" w:before="100" w:beforeAutospacing="1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осуществления муниципального земельного контроля на территории сельских поселений, входящих в состав муниципального образования Староминский район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в отношении юридических лиц, индивидуальных предпринимателей и граждан за 2022 год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828"/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Обобщение практики осуществления муници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пального земельного контроля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год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подготовлено в соответствии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статьёй 47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пунктом 3.7.4.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Староминский район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утверждённого решением Совета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муниципального образования Староминский район от 22.09.2021 года № 12/5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 также в соответствии с постановлением администрации муниципального образования Староминский район 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 декабря 2021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1464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 утверждении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Староминский район на 2022 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Перечень нормативно-правовых актов, регламентир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овавш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 осуществление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контроля на территории муниципального образования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Конституция Российской Федерации;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Гражданский кодекс Российской Федерации;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Земельный кодекс Российской Федерации;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Кодекс Российской Федерации об административных правонарушениях;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Градостроительный кодекс Российской Федерации от </w:t>
      </w:r>
      <w:hyperlink r:id="rId11" w:tooltip="http://29.12.2004" w:history="1"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29.12.2004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года                 № 140-ФЗ;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15 апреля 1998 года № 66-ФЗ «О садоводческих, огороднических и дачных некоммерческих объединениях граждан»;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16 июля 1998 года № 101-ФЗ «О государственном регулировании обеспечения плодородия земель сельскохозяйственного назначения»;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24 июля 2002 года № 101-ФЗ «Об обороте земель сельскохозяйственного назначения»;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7 июля 2003 года № 112-ФЗ «О личном подсобном хозяйстве»;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25 июня 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31 июля 2020 года № 248-ФЗ «О государственном контроле (надзоре) и муниципальном контроле в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31 июля 2020 года № 247-ФЗ «Об обязательных требованиях в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 Правительства Российской Федерации от 3 декабря      201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 Правительства Российской Федерации от 10 июля        2018 года № 800 «О проведении рекультивации и консервации земель»;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остановление Правительства Российской Федерации от 7 декабря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постановление Правительства Российской Федерации от 31 декабря 2020 года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остановление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постановление Правительс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тва Российской Федерации от 16 апреля 2021 года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года № 415»;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остановление Правительства Российской Федерации от 25 июня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2021 года № 990 «Об утверждении Правил разработки и утверждения 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трольными (надзорными) органами программы профилактики рисков причинения вреда (ущерба) охраняемым законом ценностям»;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8 сентября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520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особенностях проведения в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27 октября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1844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 Правительства Российской Федерации от 24 ноября     2021 года № 2019 «Об утверждении Правил взаимодействия феде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10 марта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336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аспоряжение Правительства Российской Федерации от 19 апреля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 Минстроя России от 19 марта 2019 года № 169/пр «Об утверждении формы уведомления о выявлении самовольной постройки и перечня документов, подтверждающих наличие признаков самовольной постройки»;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 Федеральной службы государственной регистрации, кадастра и картографии от 10 ноября 2020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П/0412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утверждении классификатора видов разрешенного использования земельных участков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приказ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риказ Генеральной прокуратуры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 от 2 июня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 года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294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О реализации Федерального закона от 31.07.2020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248-ФЗ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FFFFFF"/>
        </w:rPr>
        <w:t xml:space="preserve">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Закон Краснодарского края от 5 ноября 2002 года № 532-КЗ «Об основах регулирования земельных отношений в Краснодарском крае»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аспо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ряжение главы администрации (губернатора) Краснодарского края от 21 декабря 2018 года № 352-р «О мерах по предотвращению и пресечению самовольного строительства на территории Краснодарского края»;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Устав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решение Совет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муниципального образования Староминский район от 22 сентября 2021 года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Староминский район»;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Совета муниципального образования Староминский район                   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25 февраля 2022 года № 16/6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утверждении ключевых показателей  муниципального земельного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контроля и их целевых значений, индикативных показателей муниципального земельного контроля, применяемых при осуществлении муниципального земельного контроля на территории сельских поселений, входящих в состав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 администрации муниципального образования Староминский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район от 20 декабря 2021 года № 1464 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Староминский район на 2022 год»;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 администрации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22 февраля 2022 года № 214 «Об утверждении форм проверочных листов, применяемого при осуществлении муниципального земельного контроля на территории сельских поселений, входящих в состав муниципального образования Староминский район »;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иные правовые акты Российской Федерации, Краснодарского края, органов местного самоуправления.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Муниципальный земельный контроль на территории сельских поселений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входящих в состав муниципального образования Староминский район осуществляется администрацией муниципального образования Староминский район. Непосредственное осуществление муниципального земельного контроля от имени уполномоченного органа муниципального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земельного контроля возлагается на сектор муниципального контроля управления имущественных отношений администрации муниципального образования Староминский район (далее контрольный орган, орган муниципального земельного контроля).                           </w:t>
      </w:r>
      <w:r/>
    </w:p>
    <w:p>
      <w:pPr>
        <w:ind w:firstLine="709"/>
        <w:jc w:val="both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Функции, порядок деятельности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контрольного органа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(включая сектор муниципального земельного контроля управления имущественных отношений администрации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как органа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уполномоченного на осуществление муниципального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контроля, перечень должностных лиц, их полномочия устанавливаются муниципальным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акта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принимаемым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органами местного самоуправления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земельный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контроль на территории муниципального образования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ся должностным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лица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администрации 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заведующим сектором и ведущими специалистами сектора муниципального земельного контроля управления имущественных отношений администрации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являющимися инспекторами муниципального земельного контроля,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решением Совета муниципального образования Староминский район от 22 сентября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2021 года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Староминский район»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Штатная численность работников, выполнявших в 2022 году работу по муниципальному земельному контролю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3 человека.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widowControl w:val="off"/>
        <w:tabs>
          <w:tab w:val="left" w:pos="0" w:leader="none"/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При осуществлении муниципального земельного контроля на территории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Староминский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район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(в отношении всех категорий земель)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муниципальны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ин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спектор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осуществля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ют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контроль за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соблюдением:</w:t>
      </w:r>
      <w:r>
        <w:rPr>
          <w:rFonts w:ascii="Times New Roman" w:hAnsi="Times New Roman" w:cs="Times New Roman" w:eastAsia="Times New Roman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обязательных требований, связанных с:</w:t>
      </w:r>
      <w:r>
        <w:rPr>
          <w:rFonts w:ascii="Times New Roman" w:hAnsi="Times New Roman" w:cs="Times New Roman" w:eastAsia="Times New Roman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использованием земельных участков, предоставленных гражданам, юридическим лицам и индивидуальным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/>
      <w:bookmarkStart w:id="2" w:name="sub_3012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предупреждением и пресечением самовольного занятия земельных участков, самовольного строительства или использования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 оформленных в установленном порядке правоустанавливающих документов на землю;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/>
      <w:bookmarkStart w:id="3" w:name="sub_3013"/>
      <w:r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соблюдением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/>
      <w:bookmarkStart w:id="4" w:name="sub_3014"/>
      <w:r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г) предупреждением и пресечением незаконного изменения правового режима земельных участков;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/>
      <w:bookmarkStart w:id="5" w:name="sub_3015"/>
      <w:r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д) соблюдением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/>
      <w:bookmarkStart w:id="6" w:name="sub_3016"/>
      <w:r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е) предупреждением и пресечением сокрытия и искажения сведений о состоянии земель;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/>
      <w:bookmarkStart w:id="7" w:name="sub_3017"/>
      <w:r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ж) предупреждением и пресечением самовольного снятия или перемещения плодородного слоя почвы;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/>
      <w:bookmarkStart w:id="8" w:name="sub_3018"/>
      <w:r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з) предупреждением и пресечением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/>
      <w:bookmarkStart w:id="9" w:name="sub_3019"/>
      <w:r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 xml:space="preserve">и) предупреж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дением и пресечением уничтожения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/>
      <w:bookmarkStart w:id="10" w:name="sub_30110"/>
      <w:r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 xml:space="preserve">к) выпол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нением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/>
      <w:bookmarkStart w:id="11" w:name="sub_30111"/>
      <w:r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л) использованием земельных участков не по целевому назначению в соответствии с их принадлежностью к той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законом;</w:t>
      </w:r>
      <w:bookmarkEnd w:id="11"/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данной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муниципальной функции муниципальны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инспектор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осуществля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плановые и внеплановые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контрольные мероприятия (как предусматривающие взаимодействие с контролируемыми лицами, так и без взаимодействия с ними)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реализуют профилактические мероприятия, предусмотренные утвержденной в установленном порядке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контроля на территории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взаимодействие с органами государственной власти, органами местного самоуправления, отраслевыми (функциональными) органами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администрации, юридическими лицами, индивидуальными предпринимателями, гражданами, а также контролируемыми лицами, направленное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формирование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единообразной правоприменительной практики осуществления муниципального земельного контроля, профилактику, выявление (в том числе в части установления виновных лиц) и пресечение фактов нарушения обязательных требований в сфере земельного законодательства;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в случае выявления признаков нарушения обязательных требований в сфере земельного законодательства предпринимают установленные действующим законодательством меры реагирования к лицам,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допустившим выявленные нарушения;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12" w:name="sub_4014"/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выда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пределах полномочий обязательные для исполнения предписания об устранении выявленных в результате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проведения контрольных мероприятий, предусматривающих взаимодействие с контролируемыми лицами,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нарушениях земельного законодательства, а также осуществля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контроль за исполнением указанных предписаний в установленные сроки;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13" w:name="sub_4016"/>
      <w:r>
        <w:rPr>
          <w:rFonts w:ascii="Times New Roman" w:hAnsi="Times New Roman" w:cs="Times New Roman" w:eastAsia="Times New Roman"/>
        </w:rPr>
      </w:r>
      <w:bookmarkEnd w:id="12"/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 осуществлении муниципального земельного контроля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реализуют в пределах полномочий мероприятия, направленные на выявление и пресечение фактов самовольного строительства на территории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14" w:name="sub_4019"/>
      <w:r>
        <w:rPr>
          <w:rFonts w:ascii="Times New Roman" w:hAnsi="Times New Roman" w:cs="Times New Roman" w:eastAsia="Times New Roman"/>
        </w:rPr>
      </w:r>
      <w:bookmarkEnd w:id="13"/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привлека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 экспертов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экспертные организации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проведению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контрольных мероприятий в рамках муниципального земельного контроля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15" w:name="sub_40110"/>
      <w:r>
        <w:rPr>
          <w:rFonts w:ascii="Times New Roman" w:hAnsi="Times New Roman" w:cs="Times New Roman" w:eastAsia="Times New Roman"/>
        </w:rPr>
      </w:r>
      <w:bookmarkEnd w:id="14"/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осуществляют внесение предусмотренных действующими нормативно-правовыми актами информации и сведений в информационные системы, созданные в целях информационного обеспечения муниципального контроля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bookmarkEnd w:id="15"/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осуществля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иные полномочия, предусмотренные федеральными законами, законами Краснодарского края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нормативными правовыми актами.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 осуществлении муниципального земельного контроля применяется риск-ориентированный подход, предусмотрено 4 категории риска – значительный, средний, умеренный и низкий. На основании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критериев отнесения исполь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зуемых гражданами, юридическими лицами и (или) индивидуальными предпринимателями земель и земельных участков к определённой категории риска при осуществлении администрацией муниципального образования Староминский район муниципального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земельного контроля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постановлением администрации от 27 июня 2022 года                     № 777 утвержден перечень объектов муниципального земельного контроля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 присвоением категории риска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 осуществлении муниципального земельного контроля в 2022 году учитывались ограничения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установленные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есении изменений в некоторые акты Правительства Российской Федерации» и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(далее – ПП РФ № 336)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В связи с введенными ограничениями в истекшем периоде не осуществлялись плановые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внеплановые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контрольные мероприятия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предусматривающие взаимодействие с контролируемыми лицами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7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u w:val="single"/>
        </w:rPr>
        <w:t xml:space="preserve">Проведение</w:t>
      </w:r>
      <w:r>
        <w:rPr>
          <w:rFonts w:ascii="Times New Roman" w:hAnsi="Times New Roman" w:cs="Times New Roman" w:eastAsia="Times New Roman"/>
          <w:spacing w:val="43"/>
          <w:sz w:val="28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8"/>
          <w:u w:val="single"/>
          <w:lang w:val="ru-RU"/>
        </w:rPr>
        <w:t xml:space="preserve">пла</w:t>
      </w:r>
      <w:r>
        <w:rPr>
          <w:rFonts w:ascii="Times New Roman" w:hAnsi="Times New Roman" w:cs="Times New Roman" w:eastAsia="Times New Roman"/>
          <w:sz w:val="28"/>
          <w:u w:val="single"/>
        </w:rPr>
        <w:t xml:space="preserve">новых</w:t>
      </w:r>
      <w:r>
        <w:rPr>
          <w:rFonts w:ascii="Times New Roman" w:hAnsi="Times New Roman" w:cs="Times New Roman" w:eastAsia="Times New Roman"/>
          <w:spacing w:val="33"/>
          <w:sz w:val="28"/>
          <w:u w:val="single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  <w:u w:val="single"/>
        </w:rPr>
        <w:t xml:space="preserve">проверок.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23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Ежегодным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планом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проведения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пл</w:t>
      </w:r>
      <w:r>
        <w:rPr>
          <w:rFonts w:ascii="Times New Roman" w:hAnsi="Times New Roman" w:cs="Times New Roman" w:eastAsia="Times New Roman"/>
          <w:sz w:val="28"/>
        </w:rPr>
        <w:t xml:space="preserve">ановых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проверок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юрид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ических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лиц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 индивидуальн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предпринимателей на 202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года</w:t>
      </w:r>
      <w:r>
        <w:rPr>
          <w:rFonts w:ascii="Times New Roman" w:hAnsi="Times New Roman" w:cs="Times New Roman" w:eastAsia="Times New Roman"/>
          <w:i/>
          <w:sz w:val="28"/>
        </w:rPr>
        <w:t xml:space="preserve">, </w:t>
      </w:r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с учетом Постановления Правительства РФ</w:t>
      </w:r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</w:t>
      </w:r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риятий в течение года» было запланировано проведение одной плановой выездной проверки юридического лица, согласованной с прокуратурой Староминского района, которую согласно распоряжения администрации муниципального образования Староминский район № 81-р от </w:t>
      </w:r>
      <w:hyperlink r:id="rId12" w:tooltip="http://18.03.2022" w:history="1">
        <w:r>
          <w:rPr>
            <w:rStyle w:val="810"/>
            <w:rFonts w:ascii="Times New Roman" w:hAnsi="Times New Roman" w:cs="Times New Roman" w:eastAsia="Times New Roman"/>
            <w:i w:val="false"/>
            <w:color w:val="000000" w:themeColor="text1"/>
            <w:sz w:val="28"/>
            <w:u w:val="none"/>
            <w:lang w:val="ru-RU"/>
          </w:rPr>
          <w:t xml:space="preserve">18 марта 2022</w:t>
        </w:r>
      </w:hyperlink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 года исключили из ежегодного плана проверок юридических лиц и индивидуальных предпринимателей на 2022 год, в соответствии с постановлением Правительства Российской Федерации от 1</w:t>
      </w:r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0 марта 2022 года № 336 «Об особенностях организации и осуществления государственного контроля (надзора), муниципального контроля», с целью исполнения предостережения прокуратуры Староминского района от 18 марта 2022 года о недопустимости нарушения закона.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7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u w:val="single"/>
        </w:rPr>
        <w:t xml:space="preserve">Проведени</w:t>
      </w:r>
      <w:r>
        <w:rPr>
          <w:rFonts w:ascii="Times New Roman" w:hAnsi="Times New Roman" w:cs="Times New Roman" w:eastAsia="Times New Roman"/>
          <w:sz w:val="28"/>
          <w:u w:val="single"/>
          <w:lang w:val="ru-RU"/>
        </w:rPr>
        <w:t xml:space="preserve">е внеплановых </w:t>
      </w:r>
      <w:r>
        <w:rPr>
          <w:rFonts w:ascii="Times New Roman" w:hAnsi="Times New Roman" w:cs="Times New Roman" w:eastAsia="Times New Roman"/>
          <w:spacing w:val="-2"/>
          <w:sz w:val="28"/>
          <w:u w:val="single"/>
        </w:rPr>
        <w:t xml:space="preserve">проверок.</w:t>
      </w:r>
      <w:r>
        <w:rPr>
          <w:rFonts w:ascii="Times New Roman" w:hAnsi="Times New Roman" w:cs="Times New Roman" w:eastAsia="Times New Roman"/>
        </w:rPr>
      </w:r>
      <w:r/>
    </w:p>
    <w:p>
      <w:pPr>
        <w:pStyle w:val="841"/>
        <w:ind w:firstLine="709"/>
        <w:jc w:val="both"/>
        <w:tabs>
          <w:tab w:val="left" w:pos="426" w:leader="none"/>
        </w:tabs>
        <w:rPr>
          <w:color w:val="000000"/>
          <w:lang w:val="ru-RU"/>
        </w:rPr>
      </w:pPr>
      <w:r>
        <w:rPr>
          <w:color w:val="000000"/>
          <w:sz w:val="28"/>
          <w:szCs w:val="28"/>
          <w:shd w:val="clear" w:fill="FFFFFF" w:color="FFFFFF"/>
          <w:lang w:val="ru-RU"/>
        </w:rPr>
        <w:t xml:space="preserve">В соотве</w:t>
      </w:r>
      <w:r>
        <w:rPr>
          <w:color w:val="000000"/>
          <w:sz w:val="28"/>
          <w:szCs w:val="28"/>
          <w:shd w:val="clear" w:fill="FFFFFF" w:color="FFFFFF"/>
          <w:lang w:val="ru-RU"/>
        </w:rPr>
        <w:t xml:space="preserve">тствии с постановлением Правительства Российской Федерации от 10 марта 2022 года № 336 «Об особенностях организации и осуществления государственного (надзора), муниципального контроля», внеплановые проверки проводятся исключительно по следующим основаниям:</w:t>
      </w:r>
      <w:r>
        <w:rPr>
          <w:color w:val="000000"/>
          <w:lang w:val="ru-RU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а) при условии согласования с органами прокуратуры: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характера;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рамках регионального государственного лицензионного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контроля за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</w:t>
      </w:r>
      <w:hyperlink r:id="rId13" w:tooltip="https://internet.garant.ru/#/document/12130951/entry/1" w:anchor="/document/12130951/entry/1" w:history="1"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законодательства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4" w:tooltip="https://internet.garant.ru/#/document/74449814/entry/7507" w:anchor="/document/74449814/entry/7507" w:history="1"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частью 7 статьи 75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государственном контроле (надзоре) и муниципальном контроле в Российской Федерации");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б) без согласования с органами прокуратуры: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поручению Президента Российской Федерации;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поручению Председателя Правительства Российской Федерации, принятому после </w:t>
      </w:r>
      <w:hyperlink r:id="rId15" w:tooltip="https://internet.garant.ru/#/document/403681894/entry/12" w:anchor="/document/403681894/entry/12" w:history="1"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вступления в силу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настоящего постановления;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поручению Заместителя Председателя Правительства Российской Федерации, принятому после </w:t>
      </w:r>
      <w:hyperlink r:id="rId16" w:tooltip="https://internet.garant.ru/#/document/403681894/entry/12" w:anchor="/document/403681894/entry/12" w:history="1"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вступления в силу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наступлении со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представлении контролируемым 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внеплановые проверки,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основания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для проведения которых установлены </w:t>
      </w:r>
      <w:hyperlink r:id="rId17" w:tooltip="https://internet.garant.ru/#/document/12164247/entry/102011" w:anchor="/document/12164247/entry/102011" w:history="1"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пунктом 1</w:t>
        </w:r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  <w:vertAlign w:val="superscript"/>
          </w:rPr>
          <w:t xml:space="preserve"> </w:t>
        </w:r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 части 2 статьи 10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tooltip="https://internet.garant.ru/#/document/10105879/entry/320422" w:anchor="/document/10105879/entry/320422" w:history="1"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подпунктами 2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hyperlink r:id="rId19" w:tooltip="https://internet.garant.ru/#/document/10105879/entry/320423" w:anchor="/document/10105879/entry/320423" w:history="1"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3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hyperlink r:id="rId20" w:tooltip="https://internet.garant.ru/#/document/10105879/entry/320425" w:anchor="/document/10105879/entry/320425" w:history="1"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5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и </w:t>
      </w:r>
      <w:hyperlink r:id="rId21" w:tooltip="https://internet.garant.ru/#/document/10105879/entry/320426" w:anchor="/document/10105879/entry/320426" w:history="1"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6 пункта 4</w:t>
        </w:r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  <w:vertAlign w:val="superscript"/>
          </w:rPr>
          <w:t xml:space="preserve"> </w:t>
        </w:r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статьи 32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tooltip="https://internet.garant.ru/#/document/171640/entry/25053" w:anchor="/document/171640/entry/25053" w:history="1">
        <w:r>
          <w:rPr>
            <w:rStyle w:val="810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абзацем третьим пункта 5 статьи 25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свободе совести и о религиозных объединениях".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В 2022 году внеплановых проверок не было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ru-RU"/>
        </w:rPr>
        <w:t xml:space="preserve">, так как не было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shd w:val="clear" w:fill="FFFFFF" w:color="FFFFFF"/>
          <w:lang w:val="ru-RU"/>
        </w:rPr>
        <w:t xml:space="preserve">сведений о нарушении 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shd w:val="clear" w:fill="FFFFFF" w:color="FFFFFF"/>
          <w:lang w:val="ru-RU"/>
        </w:rPr>
        <w:t xml:space="preserve">нтролируемыми лицами обязательных требований, которые не повлекли причинение вреда (ущерба) или иным образом не нарушили права, в указанных случаях проведение внеплановых контрольных мероприятий с взаимодействием с контролируемыми лицами не допускается. 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pStyle w:val="842"/>
        <w:ind w:firstLine="709"/>
        <w:jc w:val="both"/>
        <w:spacing w:lineRule="auto" w:line="240" w:after="0" w:afterAutospacing="0"/>
        <w:shd w:val="clear" w:fill="FFFFFF" w:color="FFFFFF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В соответствии с пунктом 1 части 1 статьи 57 Федерального закона                       от 31 июля 2020 года № 248 - ФЗ «О государственном контроле (надзоре) и муниципальном надзоре в Российской Федерации»</w:t>
      </w:r>
      <w:r>
        <w:rPr>
          <w:sz w:val="28"/>
          <w:szCs w:val="28"/>
          <w:highlight w:val="none"/>
        </w:rPr>
        <w:t xml:space="preserve"> основанием для проведения контрольных мероприятий с взаимодействием с контролируемым лицом является наличие у контрольного лица органа сведений о </w:t>
      </w:r>
      <w:r>
        <w:rPr>
          <w:sz w:val="28"/>
          <w:szCs w:val="28"/>
          <w:highlight w:val="none"/>
        </w:rPr>
        <w:t xml:space="preserve">причинения вреда (ущерба) или об угрозе причинения вреда (ущерба) охраняемым законном ценностям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left="0" w:right="0" w:firstLine="850"/>
        <w:jc w:val="both"/>
        <w:spacing w:lineRule="auto" w:line="240" w:after="0" w:afterAutospacing="0" w:before="0" w:beforeAutospacing="0"/>
        <w:tabs>
          <w:tab w:val="left" w:pos="1730" w:leader="none"/>
        </w:tabs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Мероприятия по контролю без взаимодействия с юридическими лицами, индивидуальными предпринимателями, индивидуальными предпринимателями, гражданами плановые (рейдовые) осмотры.</w:t>
      </w:r>
      <w:r>
        <w:rPr>
          <w:rFonts w:ascii="Times New Roman" w:hAnsi="Times New Roman" w:cs="Times New Roman" w:eastAsia="Times New Roman"/>
          <w:highlight w:val="none"/>
          <w:lang w:val="ru-RU"/>
        </w:rPr>
      </w:r>
      <w:r/>
    </w:p>
    <w:p>
      <w:pPr>
        <w:pStyle w:val="844"/>
        <w:ind w:left="0" w:right="0" w:firstLine="825"/>
        <w:jc w:val="both"/>
        <w:spacing w:lineRule="auto" w:line="240" w:after="0" w:afterAutospacing="0"/>
        <w:widowControl/>
        <w:rPr>
          <w:highlight w:val="none"/>
        </w:rPr>
      </w:pPr>
      <w:r>
        <w:rPr>
          <w:sz w:val="28"/>
          <w:szCs w:val="28"/>
          <w:highlight w:val="none"/>
        </w:rPr>
        <w:t xml:space="preserve">В 2022 году рейдовые мероприятия по выявлени</w:t>
      </w:r>
      <w:r>
        <w:rPr>
          <w:sz w:val="28"/>
          <w:szCs w:val="28"/>
          <w:highlight w:val="none"/>
        </w:rPr>
        <w:t xml:space="preserve">ю и пресечению использования земельных участков не по целевому назначению и (или) не в </w:t>
      </w:r>
      <w:r>
        <w:rPr>
          <w:sz w:val="28"/>
          <w:szCs w:val="28"/>
          <w:highlight w:val="none"/>
        </w:rPr>
        <w:t xml:space="preserve">соответствии с видом разрешенного использования в границах муниципального образования Староминский район проводились согласно плана, количество земельных участков 19823. В 2022 году проведены все осмотры земельных участков в соответствии «дорожной картой»,</w:t>
      </w:r>
      <w:r>
        <w:rPr>
          <w:sz w:val="28"/>
          <w:szCs w:val="28"/>
        </w:rPr>
        <w:t xml:space="preserve"> нарушений не выявлено</w:t>
      </w:r>
      <w:r>
        <w:rPr>
          <w:sz w:val="28"/>
          <w:szCs w:val="28"/>
          <w:highlight w:val="none"/>
        </w:rPr>
        <w:t xml:space="preserve">. </w:t>
      </w:r>
      <w:r>
        <w:rPr>
          <w:sz w:val="28"/>
          <w:szCs w:val="28"/>
          <w:highlight w:val="none"/>
        </w:rPr>
      </w:r>
      <w:r/>
    </w:p>
    <w:p>
      <w:pPr>
        <w:pStyle w:val="843"/>
        <w:ind w:firstLine="709"/>
        <w:jc w:val="both"/>
        <w:spacing w:lineRule="auto" w:line="240" w:after="0" w:afterAutospacing="0"/>
      </w:pPr>
      <w:r>
        <w:rPr>
          <w:b w:val="false"/>
          <w:sz w:val="28"/>
          <w:szCs w:val="28"/>
        </w:rPr>
        <w:t xml:space="preserve">В 20</w:t>
      </w:r>
      <w:r>
        <w:rPr>
          <w:b w:val="false"/>
          <w:sz w:val="28"/>
          <w:szCs w:val="28"/>
        </w:rPr>
        <w:t xml:space="preserve">22</w:t>
      </w:r>
      <w:r>
        <w:rPr>
          <w:b w:val="false"/>
          <w:sz w:val="28"/>
          <w:szCs w:val="28"/>
        </w:rPr>
        <w:t xml:space="preserve"> году в рамках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стороны, специалистами </w:t>
      </w:r>
      <w:r>
        <w:rPr>
          <w:b w:val="false"/>
          <w:sz w:val="28"/>
          <w:szCs w:val="28"/>
        </w:rPr>
        <w:t xml:space="preserve">Сектора муниципального контроля</w:t>
      </w:r>
      <w:r>
        <w:rPr>
          <w:b w:val="false"/>
          <w:sz w:val="28"/>
          <w:szCs w:val="28"/>
        </w:rPr>
        <w:t xml:space="preserve"> осуществлялось консультирование заявителей (на личном приеме, по телефону) по вопросам осуществления </w:t>
      </w:r>
      <w:r>
        <w:rPr>
          <w:b w:val="false"/>
          <w:sz w:val="28"/>
          <w:szCs w:val="28"/>
        </w:rPr>
        <w:t xml:space="preserve">муниципального земельного контроля</w:t>
      </w:r>
      <w:r>
        <w:rPr>
          <w:b w:val="false"/>
          <w:sz w:val="28"/>
          <w:szCs w:val="28"/>
        </w:rPr>
        <w:t xml:space="preserve">. </w:t>
      </w:r>
      <w:r>
        <w:rPr>
          <w:b w:val="false"/>
          <w:sz w:val="28"/>
          <w:szCs w:val="28"/>
        </w:rPr>
        <w:t xml:space="preserve">Также, с</w:t>
      </w:r>
      <w:r>
        <w:rPr>
          <w:b w:val="false"/>
          <w:sz w:val="28"/>
          <w:szCs w:val="28"/>
        </w:rPr>
        <w:t xml:space="preserve"> целью обеспечения руководителей организаций, </w:t>
      </w:r>
      <w:r>
        <w:rPr>
          <w:b w:val="false"/>
          <w:sz w:val="28"/>
          <w:szCs w:val="28"/>
        </w:rPr>
        <w:t xml:space="preserve">индивидуальных предпринимателей, </w:t>
      </w:r>
      <w:r>
        <w:rPr>
          <w:b w:val="false"/>
          <w:sz w:val="28"/>
          <w:szCs w:val="28"/>
        </w:rPr>
        <w:t xml:space="preserve">граждан информацией</w:t>
      </w:r>
      <w:r>
        <w:rPr>
          <w:b w:val="false"/>
          <w:sz w:val="28"/>
          <w:szCs w:val="28"/>
        </w:rPr>
        <w:t xml:space="preserve">,</w:t>
      </w:r>
      <w:r>
        <w:rPr>
          <w:b w:val="false"/>
          <w:sz w:val="28"/>
          <w:szCs w:val="28"/>
        </w:rPr>
        <w:t xml:space="preserve"> по вопросам осуществления </w:t>
      </w:r>
      <w:r>
        <w:rPr>
          <w:b w:val="false"/>
          <w:sz w:val="28"/>
          <w:szCs w:val="28"/>
        </w:rPr>
        <w:t xml:space="preserve">муниципального земельного контроля,</w:t>
      </w:r>
      <w:r>
        <w:rPr>
          <w:b w:val="false"/>
          <w:sz w:val="28"/>
          <w:szCs w:val="28"/>
        </w:rPr>
        <w:t xml:space="preserve"> на официальном сайте </w:t>
      </w:r>
      <w:r>
        <w:rPr>
          <w:b w:val="false"/>
          <w:sz w:val="28"/>
          <w:szCs w:val="28"/>
        </w:rPr>
        <w:t xml:space="preserve">администрации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муниципального образования Староминский район</w:t>
      </w:r>
      <w:r>
        <w:rPr>
          <w:b w:val="false"/>
          <w:sz w:val="28"/>
          <w:szCs w:val="28"/>
        </w:rPr>
        <w:t xml:space="preserve"> публиковалась актуальная информация</w:t>
      </w:r>
      <w:r>
        <w:rPr>
          <w:b w:val="false"/>
          <w:sz w:val="28"/>
          <w:szCs w:val="28"/>
        </w:rPr>
        <w:t xml:space="preserve">:</w:t>
      </w:r>
      <w:r/>
    </w:p>
    <w:p>
      <w:pPr>
        <w:pStyle w:val="843"/>
        <w:ind w:firstLine="709"/>
        <w:jc w:val="both"/>
        <w:spacing w:lineRule="auto" w:line="240" w:after="0" w:afterAutospacing="0"/>
      </w:pPr>
      <w:r>
        <w:rPr>
          <w:b w:val="false"/>
          <w:sz w:val="28"/>
          <w:szCs w:val="28"/>
        </w:rPr>
        <w:t xml:space="preserve">о результатах проверок;</w:t>
      </w:r>
      <w:r/>
    </w:p>
    <w:p>
      <w:pPr>
        <w:pStyle w:val="843"/>
        <w:ind w:firstLine="709"/>
        <w:jc w:val="both"/>
        <w:spacing w:lineRule="auto" w:line="240" w:after="0" w:afterAutospacing="0"/>
      </w:pPr>
      <w:r>
        <w:rPr>
          <w:b w:val="false"/>
          <w:sz w:val="28"/>
          <w:szCs w:val="28"/>
        </w:rPr>
        <w:t xml:space="preserve">о типичных нарушениях, выявляемых в ходе проверок;</w:t>
      </w:r>
      <w:r/>
    </w:p>
    <w:p>
      <w:pPr>
        <w:pStyle w:val="843"/>
        <w:ind w:firstLine="709"/>
        <w:jc w:val="both"/>
        <w:spacing w:lineRule="auto" w:line="240" w:after="0" w:afterAutospacing="0"/>
      </w:pPr>
      <w:r>
        <w:rPr>
          <w:b w:val="false"/>
          <w:sz w:val="28"/>
          <w:szCs w:val="28"/>
        </w:rPr>
        <w:t xml:space="preserve">о структуре, функциях, режиме работы </w:t>
      </w:r>
      <w:r>
        <w:rPr>
          <w:b w:val="false"/>
          <w:sz w:val="28"/>
          <w:szCs w:val="28"/>
        </w:rPr>
        <w:t xml:space="preserve">Сектора муниципального контроля</w:t>
      </w:r>
      <w:r>
        <w:rPr>
          <w:b w:val="false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34"/>
        <w:ind w:firstLine="708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ходе объездов земель населенных пунктов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территории района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методом сплошных проверок с целью выявления самовольно занятых земель были выявлены признаки самовольного занятия. </w:t>
      </w:r>
      <w:r>
        <w:t xml:space="preserve">В целях установления лиц, допустивших нарушение земельного законодательства, но не установленных в рамках проведения рейдовых осмотров, в ОМВД России по Староминскому направлен</w:t>
      </w:r>
      <w:r>
        <w:t xml:space="preserve">ы</w:t>
      </w:r>
      <w:r>
        <w:t xml:space="preserve"> </w:t>
      </w:r>
      <w:r>
        <w:t xml:space="preserve">материалы </w:t>
      </w:r>
      <w:r>
        <w:t xml:space="preserve">для установления нарушителей и возбуждении дела об административном правонарушении по статье 7.1. Кодекса Российской Федерации об административных правонарушениях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66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Также отделом проводилась претензионная работа, целью которой является устранение выявленных ранее нарушений целевого использования земельных участков.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Исковые заявления ввиду установленных ограничений в указанный период не подавались.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Выявле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нные нарушения были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допущены контролируемыми лицами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 первую очередь,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вследствие недостаточного уровня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правовой грамотности.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9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виду изложенного, в</w:t>
      </w:r>
      <w:r>
        <w:rPr>
          <w:rFonts w:ascii="Times New Roman" w:hAnsi="Times New Roman"/>
          <w:sz w:val="28"/>
          <w:szCs w:val="28"/>
        </w:rPr>
        <w:t xml:space="preserve"> рамках утвержденно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Староминский</w:t>
      </w:r>
      <w:r>
        <w:rPr>
          <w:rFonts w:ascii="Times New Roman" w:hAnsi="Times New Roman"/>
          <w:sz w:val="28"/>
          <w:szCs w:val="28"/>
        </w:rPr>
        <w:t xml:space="preserve"> район                     от 20 декабря 2021 года № 1464 Программы профилактики рисков причинения вреда (ущерба) охраняемым законом ценностям в сфере муниципального контроля на территории муниципального образования Староминский район на 2022 год</w:t>
      </w:r>
      <w:r>
        <w:rPr>
          <w:rFonts w:ascii="Times New Roman" w:hAnsi="Times New Roman"/>
          <w:sz w:val="28"/>
          <w:szCs w:val="28"/>
        </w:rPr>
        <w:t xml:space="preserve">, в течение года по мере необходимости проводилась работа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размещению на официальн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муниципального образования Староминский район</w:t>
      </w:r>
      <w:r>
        <w:rPr>
          <w:rFonts w:ascii="Times New Roman" w:hAnsi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/>
          <w:sz w:val="28"/>
          <w:szCs w:val="28"/>
        </w:rPr>
      </w:r>
      <w:hyperlink r:id="rId23" w:tooltip="http://www.adm.starominska.ru" w:history="1">
        <w:r>
          <w:rPr>
            <w:rStyle w:val="810"/>
            <w:rFonts w:ascii="Times New Roman" w:hAnsi="Times New Roman"/>
            <w:sz w:val="28"/>
            <w:szCs w:val="28"/>
          </w:rPr>
          <w:t xml:space="preserve">www.</w:t>
        </w:r>
        <w:r>
          <w:rPr>
            <w:rStyle w:val="810"/>
            <w:rFonts w:ascii="Times New Roman" w:hAnsi="Times New Roman"/>
            <w:sz w:val="28"/>
            <w:szCs w:val="28"/>
            <w:lang w:val="en-US"/>
          </w:rPr>
          <w:t xml:space="preserve">adm.starominska.ru</w:t>
        </w:r>
        <w:r>
          <w:rPr>
            <w:rStyle w:val="810"/>
            <w:rFonts w:ascii="Times New Roman" w:hAnsi="Times New Roman"/>
            <w:sz w:val="28"/>
            <w:szCs w:val="28"/>
            <w:lang w:val="ru-RU"/>
          </w:rPr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в разделе «Муниципальный контроль»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информации, предусмотренной статьей 46 </w:t>
      </w:r>
      <w:r>
        <w:rPr>
          <w:rFonts w:ascii="Times New Roman" w:hAnsi="Times New Roman"/>
          <w:sz w:val="28"/>
          <w:szCs w:val="28"/>
        </w:rPr>
        <w:t xml:space="preserve">Федерального закона № 248-ФЗ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 муниципального</w:t>
      </w:r>
      <w:r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hAnsi="Times New Roman"/>
          <w:sz w:val="28"/>
          <w:szCs w:val="28"/>
        </w:rPr>
        <w:t xml:space="preserve"> контроля, текстов соответствующих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и другое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отдела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контрольного управления администрации </w:t>
      </w:r>
      <w:r>
        <w:rPr>
          <w:rFonts w:ascii="Times New Roman" w:hAnsi="Times New Roman"/>
          <w:sz w:val="28"/>
          <w:szCs w:val="28"/>
        </w:rPr>
        <w:t xml:space="preserve">на официальном сайте был полностью изменен в соответствии с актуальными требованиями Федерального закона № 248-ФЗ. Аналогичные сведения в соответствии с требованиями действующего законодательства были размещены в Едином реестре видов контроля (ЕРВК).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целях профилактики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рисков причинения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вреда (ущерба) охраняемым законом ценностям при осуществлении муниципального контроля на территории муниципального образования Староминский район управлением кроме вышеуказанных мероприятий были осуществлены также следующие профилактические мероприятия.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 установленном 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статьей 47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№ 248-ФЗ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 порядке 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б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ыли подготовлены, утверждены и размещены на официальном сайте муниципального образования Староминский район (</w:t>
      </w:r>
      <w:r>
        <w:rPr>
          <w:rFonts w:ascii="Times New Roman" w:hAnsi="Times New Roman"/>
          <w:sz w:val="28"/>
          <w:szCs w:val="28"/>
        </w:rPr>
      </w:r>
      <w:hyperlink r:id="rId24" w:tooltip="http://www.adm.starominska.ru" w:history="1">
        <w:r>
          <w:rPr>
            <w:rStyle w:val="810"/>
            <w:rFonts w:ascii="Times New Roman" w:hAnsi="Times New Roman"/>
            <w:sz w:val="28"/>
            <w:szCs w:val="28"/>
          </w:rPr>
          <w:t xml:space="preserve">www.</w:t>
        </w:r>
        <w:r>
          <w:rPr>
            <w:rStyle w:val="810"/>
            <w:rFonts w:ascii="Times New Roman" w:hAnsi="Times New Roman"/>
            <w:sz w:val="28"/>
            <w:szCs w:val="28"/>
            <w:lang w:val="en-US"/>
          </w:rPr>
          <w:t xml:space="preserve">adm.starominska.ru</w:t>
        </w:r>
        <w:r>
          <w:rPr>
            <w:rStyle w:val="810"/>
            <w:rFonts w:ascii="Times New Roman" w:hAnsi="Times New Roman"/>
            <w:sz w:val="28"/>
            <w:szCs w:val="28"/>
            <w:lang w:val="ru-RU"/>
          </w:rPr>
        </w:r>
      </w:hyperlink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) доклады о правоприменительной практике осуществления администрацией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муниципального земельного контроля 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за 2021 год.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В 2022 году проводилось кон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сультирование контролируемых лиц и иных заинтересованных лиц по вопросам организации и осуществления муниципального контроля, порядка осуществления контрольных мероприятий, порядка осуществления контрольных мероприятий и порядка обжалования действий (безде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йствия) должностных лиц контрольного управления в части осуществления муниципального контроля. На регулярной основе давались консультации в ходе личных приемов, контрольных мероприятий, а также посредством телефонной связи и письменных ответов на обращения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В рамках муниципального земельного контроля за истекший период 2022 года было дано 20 консультации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(10 - в ходе консультирования и 10 - в ходе рассмотрения обращений граждан)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66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С учетом актуальных требований законодательства в сфере контрольной деятельности в части ее цифровизации в 2022 году осуществлялось (и будет продолжаться на постоянной основе в дальнейшем с учетом требований действующего законодательства) </w:t>
      </w:r>
      <w:r>
        <w:rPr>
          <w:rFonts w:ascii="Times New Roman" w:hAnsi="Times New Roman"/>
          <w:sz w:val="28"/>
          <w:szCs w:val="28"/>
        </w:rPr>
        <w:t xml:space="preserve">внесение предусмотренных сведений в информационные системы, созданные в целях реализации положений Федерального закона № 248-ФЗ: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9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ЕРВК (единый реестр видов контроля);</w:t>
      </w:r>
      <w:r>
        <w:rPr>
          <w:rFonts w:ascii="Times New Roman" w:hAnsi="Times New Roman" w:cs="Times New Roman" w:eastAsia="Times New Roman"/>
        </w:rPr>
      </w:r>
      <w:r/>
    </w:p>
    <w:p>
      <w:pPr>
        <w:pStyle w:val="669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ЕРКНМ (единый реестр контрольно-надзорных мероприятий);</w:t>
      </w:r>
      <w:r>
        <w:rPr>
          <w:rFonts w:ascii="Times New Roman" w:hAnsi="Times New Roman" w:cs="Times New Roman" w:eastAsia="Times New Roman"/>
        </w:rPr>
      </w:r>
      <w:r/>
    </w:p>
    <w:p>
      <w:pPr>
        <w:pStyle w:val="669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monitoring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ar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gov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(совершенствование государственного управления);</w:t>
      </w:r>
      <w:r>
        <w:rPr>
          <w:rFonts w:ascii="Times New Roman" w:hAnsi="Times New Roman" w:cs="Times New Roman" w:eastAsia="Times New Roman"/>
        </w:rPr>
      </w:r>
      <w:r/>
    </w:p>
    <w:p>
      <w:pPr>
        <w:pStyle w:val="669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ГИС ГМП;</w:t>
      </w:r>
      <w:r>
        <w:rPr>
          <w:rFonts w:ascii="Times New Roman" w:hAnsi="Times New Roman" w:cs="Times New Roman" w:eastAsia="Times New Roman"/>
        </w:rPr>
      </w:r>
      <w:r/>
    </w:p>
    <w:p>
      <w:pPr>
        <w:pStyle w:val="66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ГИС ТОР КНД;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ГАС «Управление».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только начинает формироваться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сектором муниципального контроля управления имущественных отношений администрации муниципального образования Староминский район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2022 году с целью формирования единообразной правоприменительной практики осуществлялась следующая работа: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66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) информационно-методический обмен с инспекторами муниципального контроля, осуществляющими деятельность в крае и за его пределами очно, в телефонном режиме, в телеграмм-каналах и чатах в </w:t>
      </w:r>
      <w:r>
        <w:rPr>
          <w:rFonts w:ascii="Times New Roman" w:hAnsi="Times New Roman"/>
          <w:sz w:val="28"/>
          <w:szCs w:val="28"/>
          <w:lang w:val="en-US"/>
        </w:rPr>
        <w:t xml:space="preserve">WhatsApp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) участие в вебинарах по темам, связанным с осуществлением муниципального контроля и реформой контрольно-надзорной деятельности;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направлен </w:t>
      </w:r>
      <w:r>
        <w:rPr>
          <w:rFonts w:ascii="Times New Roman" w:hAnsi="Times New Roman"/>
          <w:sz w:val="28"/>
          <w:szCs w:val="28"/>
        </w:rPr>
        <w:t xml:space="preserve">запрос в министерство экономического развития Российской Федерации по вопросу внесении объектов муниципального контроля в реестр объектов контроля на базе Единого реестра видов контроля (в том числе </w:t>
      </w:r>
      <w:r>
        <w:rPr>
          <w:rFonts w:ascii="Times New Roman" w:hAnsi="Times New Roman"/>
          <w:sz w:val="28"/>
          <w:szCs w:val="28"/>
        </w:rPr>
        <w:t xml:space="preserve">автоматизации данной процедуры);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) на постоянной основе осуществлялся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мониторинг изменений действующего законодательства, регулирующего осуществление контрольной деятельности о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рганами местного самоуправления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, с целью поддержания в актуальном состоянии муниципальных нормативно-правовых актов в данной сфере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 мероприяти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вебинаров, посвященных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Всероссийской Ассоциаци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развития местного самоуправления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портале «Реформа КНД» (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www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monitoring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ar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gov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контроля с учетом кар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муниципальный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земельный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контроль на территории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 учетом практики осуществления муниципального земельного контроля в 2022 году можно предложить обратить внимание на следующие моменты с целью последующей актуализации нормативно-правовой базы, регулирующей вопросы осуществления контрольной деятельности.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828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со статьёй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Федеральн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от 31 июля 2020 г.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247-ФЗ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 обязательных требованиях в Российской Федерации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бязательные требования устанавливаются в порядке, определяемом настоящим Федеральным законом, исключите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льно в целях защиты жизни, здоровья людей, нравственности, прав и законных интересов граждан и организаций, непричинения вреда (ущерба) животным, растениям, окружающей среде, обороне страны и безопасности государства, объектам культурного наследия, защиты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иных охраняемых законом ценностей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(далее - охраняемые законом ценности).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28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со статьёй 1 Земельного кодекса Российской Федерации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земля – охраняемая законом ценность,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основ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жизни и деятельности человека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28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Факторами риска причинения вреда (ущерба)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охраняем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законом ценност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земли является: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28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  <w:tab/>
        <w:t xml:space="preserve">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есоответствие площади используе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недвижимости. </w:t>
      </w:r>
      <w:r/>
    </w:p>
    <w:p>
      <w:pPr>
        <w:pStyle w:val="828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  <w:tab/>
        <w:t xml:space="preserve">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  <w:r/>
    </w:p>
    <w:p>
      <w:pPr>
        <w:pStyle w:val="828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  <w:tab/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иного строительства, выявленное по результатам проведения контрольных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законом, договором аренды земельного участка.</w:t>
      </w:r>
      <w:r/>
    </w:p>
    <w:p>
      <w:pPr>
        <w:pStyle w:val="828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  <w:tab/>
        <w:t xml:space="preserve">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лительное неосвоение земельного участка, выявленное 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результатам проведения контрольных мероприятий без взаимодействия с контролируемым лицом, в случае если обязанность по освоению такого земельного участка в течение установленного срока предусмотрена федеральным законом, договором аренды земельного участка.</w:t>
      </w:r>
      <w:r/>
    </w:p>
    <w:p>
      <w:pPr>
        <w:pStyle w:val="828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  <w:tab/>
        <w:t xml:space="preserve">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амовольное занятие земельных 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частков, самовольное строительство или использование земельных участков без оформленных в установленном порядке правоустанавливающих документов на землю, выявленные в результате проведения контрольного мероприятия без взаимодействия с контролируемым лицом.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28"/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Анализ деятельности отдела муниципального контроля управления муниципальной собственности администрации муниципального образования Староминский район за 2022 год показывает, что наиболее типичными нарушениями обязательных требований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(индикаторов риска)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являются нарушения пункта 1 статьи 25 Зем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ельного кодекса Российской Федерации; статьи 42 Земельного кодекса Российской Федерации, а именно: самовольное занятия земельного участка, а также использование земельного участка не в соответствии с видом разрешенного использования (целевым назначением).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28"/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Участниками земельных отношений в целях недопущения таких нарушений должны приниматься все необходимые меры, а именно:</w:t>
      </w:r>
      <w:r/>
    </w:p>
    <w:p>
      <w:pPr>
        <w:pStyle w:val="828"/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фактическое использование земельного участка должно соответствовать правовому режиму земельного участка, указанному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 правоустанавливающих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документах на землю и в ЕГРН;</w:t>
      </w:r>
      <w:r/>
    </w:p>
    <w:p>
      <w:pPr>
        <w:pStyle w:val="828"/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целях недопущения изменения фактических границ земельных участков, в результате которых увеличивается площадь земельного участка за счет занятия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смежных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земель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ных участков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необходимо удостовериться, что границы используемого земельного участк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ЕГРН;</w:t>
      </w:r>
      <w:r/>
    </w:p>
    <w:p>
      <w:pPr>
        <w:pStyle w:val="828"/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целях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оформления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установленном порядке правоустанавливающих документов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используемые земельные участки,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необходимо обратиться в уполномоченный орган за предоставлением прав на землю;</w:t>
      </w:r>
      <w:r/>
    </w:p>
    <w:p>
      <w:pPr>
        <w:pStyle w:val="828"/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  <w:r/>
    </w:p>
    <w:p>
      <w:pPr>
        <w:pStyle w:val="828"/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 того чтобы проследить в порядке самоконтроля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(ориентировочно)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не допущены ли землепользовател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адресу: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"http://pkk5.rosreestr.ru/"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 w:eastAsia="Times New Roman"/>
          <w:color w:val="0000FF"/>
          <w:sz w:val="28"/>
          <w:szCs w:val="28"/>
          <w:u w:val="single"/>
          <w:lang w:eastAsia="ru-RU"/>
        </w:rPr>
        <w:t xml:space="preserve">http://pkk5.rosreestr.ru</w:t>
      </w:r>
      <w:r>
        <w:rPr>
          <w:rFonts w:ascii="Times New Roman" w:hAnsi="Times New Roman" w:eastAsia="Times New Roman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828"/>
        <w:contextualSpacing w:val="true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8"/>
        <w:contextualSpacing w:val="true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8"/>
        <w:contextualSpacing w:val="true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8"/>
        <w:spacing w:lineRule="auto" w:line="240" w:after="0"/>
        <w:tabs>
          <w:tab w:val="left" w:pos="6930" w:leader="none"/>
        </w:tabs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Исполняющий обязанности</w:t>
      </w:r>
      <w:r/>
    </w:p>
    <w:p>
      <w:pPr>
        <w:pStyle w:val="828"/>
        <w:spacing w:lineRule="auto" w:line="240" w:after="0"/>
        <w:tabs>
          <w:tab w:val="left" w:pos="6930" w:leader="none"/>
        </w:tabs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начальника управление имущественных</w:t>
      </w:r>
      <w:r/>
    </w:p>
    <w:p>
      <w:pPr>
        <w:pStyle w:val="828"/>
        <w:spacing w:lineRule="auto" w:line="240" w:after="0"/>
        <w:tabs>
          <w:tab w:val="left" w:pos="6930" w:leader="none"/>
        </w:tabs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отношений администрации муниципального</w:t>
      </w:r>
      <w:r/>
    </w:p>
    <w:p>
      <w:pPr>
        <w:pStyle w:val="828"/>
        <w:spacing w:lineRule="auto" w:line="240" w:after="0"/>
        <w:tabs>
          <w:tab w:val="left" w:pos="6930" w:leader="none"/>
        </w:tabs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образования Староминский район</w:t>
      </w:r>
      <w:r>
        <w:rPr>
          <w:rFonts w:ascii="Times New Roman" w:hAnsi="Times New Roman" w:eastAsia="Times New Roman"/>
          <w:sz w:val="28"/>
          <w:szCs w:val="28"/>
          <w:lang w:eastAsia="ar-SA"/>
        </w:rPr>
        <w:tab/>
        <w:t xml:space="preserve">            Ю.А. Труханов</w: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567" w:bottom="99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ndale Sans UI">
    <w:panose1 w:val="03030502040406070605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List Paragraph"/>
    <w:qFormat/>
    <w:uiPriority w:val="34"/>
    <w:pPr>
      <w:contextualSpacing w:val="true"/>
      <w:ind w:left="720"/>
    </w:pPr>
  </w:style>
  <w:style w:type="paragraph" w:styleId="669">
    <w:name w:val="No Spacing"/>
    <w:qFormat/>
    <w:uiPriority w:val="1"/>
    <w:pPr>
      <w:spacing w:lineRule="auto" w:line="240" w:after="0" w:before="0"/>
    </w:pPr>
  </w:style>
  <w:style w:type="paragraph" w:styleId="670">
    <w:name w:val="Title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link w:val="67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Footer Char"/>
    <w:link w:val="680"/>
    <w:uiPriority w:val="99"/>
  </w:style>
  <w:style w:type="paragraph" w:styleId="68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link w:val="815"/>
    <w:uiPriority w:val="99"/>
    <w:semiHidden/>
    <w:unhideWhenUsed/>
    <w:rPr>
      <w:sz w:val="20"/>
    </w:rPr>
    <w:pPr>
      <w:spacing w:lineRule="auto" w:line="240" w:after="0"/>
    </w:p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uiPriority w:val="39"/>
    <w:unhideWhenUsed/>
    <w:pPr>
      <w:ind w:left="0" w:right="0" w:firstLine="0"/>
      <w:spacing w:after="57"/>
    </w:pPr>
  </w:style>
  <w:style w:type="paragraph" w:styleId="818">
    <w:name w:val="toc 2"/>
    <w:uiPriority w:val="39"/>
    <w:unhideWhenUsed/>
    <w:pPr>
      <w:ind w:left="283" w:right="0" w:firstLine="0"/>
      <w:spacing w:after="57"/>
    </w:pPr>
  </w:style>
  <w:style w:type="paragraph" w:styleId="819">
    <w:name w:val="toc 3"/>
    <w:uiPriority w:val="39"/>
    <w:unhideWhenUsed/>
    <w:pPr>
      <w:ind w:left="567" w:right="0" w:firstLine="0"/>
      <w:spacing w:after="57"/>
    </w:pPr>
  </w:style>
  <w:style w:type="paragraph" w:styleId="820">
    <w:name w:val="toc 4"/>
    <w:uiPriority w:val="39"/>
    <w:unhideWhenUsed/>
    <w:pPr>
      <w:ind w:left="850" w:right="0" w:firstLine="0"/>
      <w:spacing w:after="57"/>
    </w:pPr>
  </w:style>
  <w:style w:type="paragraph" w:styleId="821">
    <w:name w:val="toc 5"/>
    <w:uiPriority w:val="39"/>
    <w:unhideWhenUsed/>
    <w:pPr>
      <w:ind w:left="1134" w:right="0" w:firstLine="0"/>
      <w:spacing w:after="57"/>
    </w:pPr>
  </w:style>
  <w:style w:type="paragraph" w:styleId="822">
    <w:name w:val="toc 6"/>
    <w:uiPriority w:val="39"/>
    <w:unhideWhenUsed/>
    <w:pPr>
      <w:ind w:left="1417" w:right="0" w:firstLine="0"/>
      <w:spacing w:after="57"/>
    </w:pPr>
  </w:style>
  <w:style w:type="paragraph" w:styleId="823">
    <w:name w:val="toc 7"/>
    <w:uiPriority w:val="39"/>
    <w:unhideWhenUsed/>
    <w:pPr>
      <w:ind w:left="1701" w:right="0" w:firstLine="0"/>
      <w:spacing w:after="57"/>
    </w:pPr>
  </w:style>
  <w:style w:type="paragraph" w:styleId="824">
    <w:name w:val="toc 8"/>
    <w:uiPriority w:val="39"/>
    <w:unhideWhenUsed/>
    <w:pPr>
      <w:ind w:left="1984" w:right="0" w:firstLine="0"/>
      <w:spacing w:after="57"/>
    </w:pPr>
  </w:style>
  <w:style w:type="paragraph" w:styleId="825">
    <w:name w:val="toc 9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uiPriority w:val="99"/>
    <w:unhideWhenUsed/>
    <w:pPr>
      <w:spacing w:after="0" w:afterAutospacing="0"/>
    </w:pPr>
  </w:style>
  <w:style w:type="paragraph" w:styleId="828">
    <w:name w:val="Обычный"/>
    <w:next w:val="828"/>
    <w:link w:val="828"/>
    <w:rPr>
      <w:sz w:val="22"/>
      <w:szCs w:val="22"/>
      <w:lang w:val="ru-RU" w:bidi="ar-SA" w:eastAsia="en-US"/>
    </w:rPr>
    <w:pPr>
      <w:spacing w:lineRule="auto" w:line="259" w:after="160"/>
    </w:pPr>
  </w:style>
  <w:style w:type="character" w:styleId="829">
    <w:name w:val="Основной шрифт абзаца"/>
    <w:next w:val="829"/>
    <w:link w:val="828"/>
    <w:semiHidden/>
  </w:style>
  <w:style w:type="table" w:styleId="830">
    <w:name w:val="Обычная таблица"/>
    <w:next w:val="830"/>
    <w:link w:val="828"/>
    <w:semiHidden/>
    <w:tblPr/>
  </w:style>
  <w:style w:type="numbering" w:styleId="831">
    <w:name w:val="Нет списка"/>
    <w:next w:val="831"/>
    <w:link w:val="828"/>
    <w:semiHidden/>
  </w:style>
  <w:style w:type="paragraph" w:styleId="832">
    <w:name w:val="Текст выноски"/>
    <w:basedOn w:val="828"/>
    <w:next w:val="832"/>
    <w:link w:val="833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33">
    <w:name w:val="Текст выноски Знак"/>
    <w:next w:val="833"/>
    <w:link w:val="832"/>
    <w:semiHidden/>
    <w:rPr>
      <w:rFonts w:ascii="Segoe UI" w:hAnsi="Segoe UI"/>
      <w:sz w:val="18"/>
      <w:szCs w:val="18"/>
    </w:rPr>
  </w:style>
  <w:style w:type="paragraph" w:styleId="834">
    <w:name w:val="Основной текст"/>
    <w:basedOn w:val="828"/>
    <w:next w:val="834"/>
    <w:link w:val="835"/>
    <w:rPr>
      <w:rFonts w:ascii="Times New Roman" w:hAnsi="Times New Roman" w:eastAsia="Times New Roman"/>
      <w:sz w:val="28"/>
      <w:szCs w:val="28"/>
      <w:lang w:eastAsia="ar-SA"/>
    </w:rPr>
    <w:pPr>
      <w:jc w:val="both"/>
      <w:spacing w:lineRule="auto" w:line="240" w:after="0"/>
    </w:pPr>
  </w:style>
  <w:style w:type="character" w:styleId="835">
    <w:name w:val="Основной текст Знак"/>
    <w:next w:val="835"/>
    <w:link w:val="834"/>
    <w:rPr>
      <w:rFonts w:ascii="Times New Roman" w:hAnsi="Times New Roman" w:eastAsia="Times New Roman"/>
      <w:sz w:val="28"/>
      <w:szCs w:val="28"/>
      <w:lang w:eastAsia="ar-SA"/>
    </w:rPr>
  </w:style>
  <w:style w:type="character" w:styleId="836" w:default="1">
    <w:name w:val="Default Paragraph Font"/>
    <w:uiPriority w:val="1"/>
    <w:semiHidden/>
    <w:unhideWhenUsed/>
  </w:style>
  <w:style w:type="numbering" w:styleId="837" w:default="1">
    <w:name w:val="No List"/>
    <w:uiPriority w:val="99"/>
    <w:semiHidden/>
    <w:unhideWhenUsed/>
  </w:style>
  <w:style w:type="paragraph" w:styleId="838" w:default="1">
    <w:name w:val="Normal"/>
    <w:qFormat/>
  </w:style>
  <w:style w:type="table" w:styleId="839" w:default="1">
    <w:name w:val="Normal Table"/>
    <w:uiPriority w:val="99"/>
    <w:semiHidden/>
    <w:unhideWhenUsed/>
    <w:tblPr/>
  </w:style>
  <w:style w:type="paragraph" w:styleId="840" w:customStyle="1">
    <w:name w:val="ConsPlusNormal"/>
    <w:link w:val="682"/>
    <w:uiPriority w:val="99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1" w:customStyle="1">
    <w:name w:val="Standard"/>
    <w:rPr>
      <w:rFonts w:ascii="Times New Roman" w:hAnsi="Times New Roman" w:cs="Tahoma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de-DE" w:bidi="fa-IR" w:eastAsia="ja-JP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2">
    <w:name w:val="Body Text"/>
    <w:rPr>
      <w:rFonts w:ascii="Times New Roman" w:hAnsi="Times New Roman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3">
    <w:name w:val="Основной текст 21"/>
    <w:rPr>
      <w:rFonts w:ascii="Times New Roman" w:hAnsi="Times New Roman" w:cs="Arial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4">
    <w:name w:val="Базовый"/>
    <w:next w:val="815"/>
    <w:rPr>
      <w:rFonts w:ascii="Times New Roman" w:hAnsi="Times New Roman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29.12.2004" TargetMode="External"/><Relationship Id="rId12" Type="http://schemas.openxmlformats.org/officeDocument/2006/relationships/hyperlink" Target="http://18.03.2022" TargetMode="External"/><Relationship Id="rId13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3" Type="http://schemas.openxmlformats.org/officeDocument/2006/relationships/hyperlink" Target="http://www.adm.starominska.ru" TargetMode="External"/><Relationship Id="rId24" Type="http://schemas.openxmlformats.org/officeDocument/2006/relationships/hyperlink" Target="http://www.adm.starominsk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2023-02-28T07:55:10Z</dcterms:modified>
</cp:coreProperties>
</file>