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✅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Соцфонд назначает гражданам надбавки к пенсии в зависимости от места жительства, возраста или профессионального стажа.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Краснодарском крае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тысяча пенсионеров получают пенсию в повышенном размере за работу в сельском хозяйстве.</w: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Причем многие надбавки оформляются беззаявительно - благодаря цифровизации и электронному информационному обмену между ведомствами.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✔️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Так, проактивно назначаются: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📊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Доплата к пенсии неработающего пенсионера до уровня прожиточного минимума (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https://sfr.gov.ru/grazhdanam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"https://sfr.gov.ru/grazhdanam/pensionres/soc_doplata/"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/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"https://sfr.gov.ru/grazhdanam/pensionres/soc_doplata/"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pension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"https://sfr.gov.ru/grazhdanam/pensionres/soc_doplata/"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r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"https://sfr.gov.ru/grazhdanam/pensionres/soc_doplata/"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...c_doplata/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регионе проживания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️⃣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️⃣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Повышенная фиксированная выплата к страховой пенсии по старости (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https://sfr.gov.ru/grazhdanam/pensio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r...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t_amount/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назначается с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80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-летия или установления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гр. инвалидности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🧭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Доплата за проживание на Крайнем Севере и за выработанный северный стаж (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https://sfr.gov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.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ru/grazhdanam/pe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s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i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onr...nt_am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o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unt/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✔️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 заявлению назначаются: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Профессиональная доплата к пенсии (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https://sfr.go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"https://sfr.gov.ru/grazhdanam/workers/dopsocob/"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v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"https://sfr.gov.ru/grazhdanam/workers/dopsocob/"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.ru/grazh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"https://sfr.gov.ru/grazhdanam/workers/dopsocob/"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d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"https://sfr.gov.ru/grazhdanam/workers/dopsocob/"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an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"https://sfr.gov.ru/grazhdanam/workers/dopsocob/"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a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"https://sfr.gov.ru/grazhdanam/workers/dopsocob/"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m/workers/dopsocob/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лицам, выработавшим специальный стаж (членам летных экипажей, работникам угольной промышленности и т.д.).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🚜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Надбавка к пенсии сельским пенсионерам (</w:t>
      </w: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https://sfr.gov.ru/grazhdanam/pen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"https://sfr.gov.ru/grazhdanam/pensionnaya_sistema/"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s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"https://sfr.gov.ru/grazhdanam/pensionnaya_sistema/"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ionn...a_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"https://sfr.gov.ru/grazhdanam/pensionnaya_sistema/"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s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"https://sfr.gov.ru/grazhdanam/pensionnaya_sistema/"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i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"https://sfr.gov.ru/grazhdanam/pensionnaya_sistema/"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s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"https://sfr.gov.ru/grazhdanam/pensionnaya_sistema/"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tema/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назначении учитывается работа в колхозах, совхозах, предприятиях животноводства, растениеводства и рыбоводства.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👦👧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Доплата за детей на иждивении (</w:t>
      </w:r>
      <w:hyperlink xmlns:r="http://schemas.openxmlformats.org/officeDocument/2006/relationships" r:id="docRId5"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https://sfr.go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v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.ru/grazhda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n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am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/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p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e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nsionr...nt_amo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u</w:t>
        </w:r>
        <w:r>
          <w:rPr>
            <w:rFonts w:ascii="Times New Roman" w:hAnsi="Times New Roman" w:cs="Times New Roman" w:eastAsia="Times New Roman"/>
            <w:vanish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HYPERLINK "https://sfr.gov.ru/grazhdanam/pensionres/Fixed_payment_amount/"</w:t>
        </w:r>
        <w:r>
          <w:rPr>
            <w:rFonts w:ascii="Times New Roman" w:hAnsi="Times New Roman" w:cs="Times New Roman" w:eastAsia="Times New Roman"/>
            <w:color w:val="0000EE"/>
            <w:spacing w:val="0"/>
            <w:position w:val="0"/>
            <w:sz w:val="24"/>
            <w:u w:val="single"/>
            <w:shd w:fill="auto" w:val="clear"/>
          </w:rPr>
          <w:t xml:space="preserve">nt/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#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СФР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sfr.gov.ru/grazhdanam/pensionres/Fixed_payment_amount/" Id="docRId1" Type="http://schemas.openxmlformats.org/officeDocument/2006/relationships/hyperlink"/><Relationship TargetMode="External" Target="https://sfr.gov.ru/grazhdanam/workers/dopsocob/" Id="docRId3" Type="http://schemas.openxmlformats.org/officeDocument/2006/relationships/hyperlink"/><Relationship TargetMode="External" Target="https://sfr.gov.ru/grazhdanam/pensionres/Fixed_payment_amount/" Id="docRId5" Type="http://schemas.openxmlformats.org/officeDocument/2006/relationships/hyperlink"/><Relationship Target="styles.xml" Id="docRId7" Type="http://schemas.openxmlformats.org/officeDocument/2006/relationships/styles"/><Relationship TargetMode="External" Target="https://sfr.gov.ru/grazhdanam/pensionres/soc_doplata/" Id="docRId0" Type="http://schemas.openxmlformats.org/officeDocument/2006/relationships/hyperlink"/><Relationship TargetMode="External" Target="https://sfr.gov.ru/grazhdanam/pensionres/Fixed_payment_amount/" Id="docRId2" Type="http://schemas.openxmlformats.org/officeDocument/2006/relationships/hyperlink"/><Relationship TargetMode="External" Target="https://sfr.gov.ru/grazhdanam/pensionnaya_sistema/" Id="docRId4" Type="http://schemas.openxmlformats.org/officeDocument/2006/relationships/hyperlink"/><Relationship Target="numbering.xml" Id="docRId6" Type="http://schemas.openxmlformats.org/officeDocument/2006/relationships/numbering"/></Relationships>
</file>